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D47">
      <w:pPr>
        <w:pStyle w:val="ConsPlusNormal"/>
        <w:widowControl/>
        <w:ind w:firstLine="0"/>
        <w:outlineLvl w:val="0"/>
      </w:pPr>
    </w:p>
    <w:p w:rsidR="00000000" w:rsidRDefault="00FC4D47">
      <w:pPr>
        <w:pStyle w:val="ConsPlusTitle"/>
        <w:widowControl/>
        <w:jc w:val="center"/>
      </w:pPr>
      <w:r>
        <w:t>ПРАВИТЕЛЬСТВО НИЖЕГОРОДСКОЙ ОБЛАСТИ</w:t>
      </w:r>
    </w:p>
    <w:p w:rsidR="00000000" w:rsidRDefault="00FC4D47">
      <w:pPr>
        <w:pStyle w:val="ConsPlusTitle"/>
        <w:widowControl/>
        <w:jc w:val="center"/>
      </w:pPr>
    </w:p>
    <w:p w:rsidR="00000000" w:rsidRDefault="00FC4D47">
      <w:pPr>
        <w:pStyle w:val="ConsPlusTitle"/>
        <w:widowControl/>
        <w:jc w:val="center"/>
      </w:pPr>
      <w:r>
        <w:t>ПОСТАНОВЛЕНИЕ</w:t>
      </w:r>
    </w:p>
    <w:p w:rsidR="00000000" w:rsidRDefault="00FC4D47">
      <w:pPr>
        <w:pStyle w:val="ConsPlusTitle"/>
        <w:widowControl/>
        <w:jc w:val="center"/>
      </w:pPr>
      <w:r>
        <w:t>от 20 апреля 2010 г. N 223</w:t>
      </w:r>
    </w:p>
    <w:p w:rsidR="00000000" w:rsidRDefault="00FC4D47">
      <w:pPr>
        <w:pStyle w:val="ConsPlusTitle"/>
        <w:widowControl/>
        <w:jc w:val="center"/>
      </w:pPr>
    </w:p>
    <w:p w:rsidR="00000000" w:rsidRDefault="00FC4D47">
      <w:pPr>
        <w:pStyle w:val="ConsPlusTitle"/>
        <w:widowControl/>
        <w:jc w:val="center"/>
      </w:pPr>
      <w:r>
        <w:t>ОБ УПОЛНОМОЧЕННОМ ОРГАНЕ</w:t>
      </w:r>
    </w:p>
    <w:p w:rsidR="00000000" w:rsidRDefault="00FC4D47">
      <w:pPr>
        <w:pStyle w:val="ConsPlusNormal"/>
        <w:widowControl/>
        <w:ind w:firstLine="0"/>
        <w:jc w:val="center"/>
      </w:pPr>
    </w:p>
    <w:p w:rsidR="00000000" w:rsidRDefault="00FC4D47">
      <w:pPr>
        <w:pStyle w:val="ConsPlusNormal"/>
        <w:widowControl/>
        <w:ind w:firstLine="0"/>
        <w:jc w:val="center"/>
      </w:pPr>
      <w:r>
        <w:t>(в ред. постановлений Правительства Нижегородской области</w:t>
      </w:r>
    </w:p>
    <w:p w:rsidR="00000000" w:rsidRDefault="00FC4D47">
      <w:pPr>
        <w:pStyle w:val="ConsPlusNormal"/>
        <w:widowControl/>
        <w:ind w:firstLine="0"/>
        <w:jc w:val="center"/>
      </w:pPr>
      <w:r>
        <w:t xml:space="preserve">от 21.10.2010 </w:t>
      </w:r>
      <w:hyperlink r:id="rId4" w:history="1">
        <w:r>
          <w:rPr>
            <w:color w:val="0000FF"/>
          </w:rPr>
          <w:t>N 710</w:t>
        </w:r>
      </w:hyperlink>
      <w:r>
        <w:t xml:space="preserve">, от 21.01.2011 </w:t>
      </w:r>
      <w:hyperlink r:id="rId5" w:history="1">
        <w:r>
          <w:rPr>
            <w:color w:val="0000FF"/>
          </w:rPr>
          <w:t>N 20</w:t>
        </w:r>
      </w:hyperlink>
      <w:r>
        <w:t>)</w:t>
      </w:r>
    </w:p>
    <w:p w:rsidR="00000000" w:rsidRDefault="00FC4D47">
      <w:pPr>
        <w:pStyle w:val="ConsPlusNormal"/>
        <w:widowControl/>
        <w:ind w:firstLine="0"/>
        <w:jc w:val="center"/>
      </w:pPr>
    </w:p>
    <w:p w:rsidR="00000000" w:rsidRDefault="00FC4D47">
      <w:pPr>
        <w:pStyle w:val="ConsPlusNormal"/>
        <w:widowControl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августа 2008 года N 632 "О Правительственной комиссии по развитию жилищного строительства", Соглашением о взаимодействии (сотру</w:t>
      </w:r>
      <w:r>
        <w:t>дничестве) между Правительством Нижегородской области и Федеральным фондом содействия развитию жилищного строительства от 4 февраля 2009 года N 13-П/С-09 Правительство Нижегородской области постановляет:</w:t>
      </w:r>
    </w:p>
    <w:p w:rsidR="00000000" w:rsidRDefault="00FC4D47">
      <w:pPr>
        <w:pStyle w:val="ConsPlusNormal"/>
        <w:widowControl/>
        <w:ind w:firstLine="540"/>
        <w:jc w:val="both"/>
      </w:pPr>
      <w:r>
        <w:t>1. Определить министерство государственного имуществ</w:t>
      </w:r>
      <w:r>
        <w:t>а и земельных ресурсов Нижегородской области уполномоченным органом исполнительной власти Нижегородской области по осуществлению следующих полномочий Российской Федерации по управлению и распоряжению земельными участками, иными объектами недвижимого имущес</w:t>
      </w:r>
      <w:r>
        <w:t>тва, находящимися в собственности Российской Федерации, в отношении которых принято соответствующее решение Правительственной комиссии по развитию жилищного строительства (далее - Правительственная комиссия):</w:t>
      </w:r>
    </w:p>
    <w:p w:rsidR="00000000" w:rsidRDefault="00FC4D47">
      <w:pPr>
        <w:pStyle w:val="ConsPlusNormal"/>
        <w:widowControl/>
        <w:ind w:firstLine="540"/>
        <w:jc w:val="both"/>
      </w:pPr>
      <w:r>
        <w:t>1) образование земельных участков из находящихс</w:t>
      </w:r>
      <w:r>
        <w:t>я в федеральной собственности земельных участков в соответствии с прилагаемыми к указанному решению Правительственной комиссии схемами расположения земельных участков, которые могут быть образованы из находящихся в федеральной собственности земельных участ</w:t>
      </w:r>
      <w:r>
        <w:t>ков, на кадастровом плане или кадастровой карте соответствующей территории;</w:t>
      </w:r>
    </w:p>
    <w:p w:rsidR="00000000" w:rsidRDefault="00FC4D47">
      <w:pPr>
        <w:pStyle w:val="ConsPlusNormal"/>
        <w:widowControl/>
        <w:ind w:firstLine="540"/>
        <w:jc w:val="both"/>
      </w:pPr>
      <w:r>
        <w:t>2) принятие решений о прекращении права постоянного (бессрочного) пользования земельными участками, которые предоставлены организациям;</w:t>
      </w:r>
    </w:p>
    <w:p w:rsidR="00000000" w:rsidRDefault="00FC4D47">
      <w:pPr>
        <w:pStyle w:val="ConsPlusNormal"/>
        <w:widowControl/>
        <w:ind w:firstLine="540"/>
        <w:jc w:val="both"/>
      </w:pPr>
      <w:r>
        <w:t>3) изъятие объектов недвижимого имущества, д</w:t>
      </w:r>
      <w:r>
        <w:t>ругого имущества, которые закреплены на праве хозяйственного ведения или оперативного управления за организациями;</w:t>
      </w:r>
    </w:p>
    <w:p w:rsidR="00000000" w:rsidRDefault="00FC4D47">
      <w:pPr>
        <w:pStyle w:val="ConsPlusNormal"/>
        <w:widowControl/>
        <w:ind w:firstLine="540"/>
        <w:jc w:val="both"/>
      </w:pPr>
      <w:r>
        <w:t>4) досрочное расторжение договоров аренды, договоров безвозмездного срочного пользования, отказ от договоров аренды, заключенных на неопредел</w:t>
      </w:r>
      <w:r>
        <w:t>енный срок, в отношении земельных участков, которые предоставлены организациям;</w:t>
      </w:r>
    </w:p>
    <w:p w:rsidR="00000000" w:rsidRDefault="00FC4D47">
      <w:pPr>
        <w:pStyle w:val="ConsPlusNormal"/>
        <w:widowControl/>
        <w:ind w:firstLine="540"/>
        <w:jc w:val="both"/>
      </w:pPr>
      <w:r>
        <w:t xml:space="preserve">5) досрочное расторжение договоров аренды, договоров безвозмездного пользования, отказ от договоров аренды, заключенных на неопределенный срок в отношении объектов недвижимого </w:t>
      </w:r>
      <w:r>
        <w:t>имущества, другого имущества, которые закреплены на праве хозяйственного ведения или оперативного управления за организациями;</w:t>
      </w:r>
    </w:p>
    <w:p w:rsidR="00000000" w:rsidRDefault="00FC4D47">
      <w:pPr>
        <w:pStyle w:val="ConsPlusNormal"/>
        <w:widowControl/>
        <w:ind w:firstLine="540"/>
        <w:jc w:val="both"/>
      </w:pPr>
      <w:r>
        <w:t>6) снос объектов недвижимого имущества;</w:t>
      </w:r>
    </w:p>
    <w:p w:rsidR="00000000" w:rsidRDefault="00FC4D47">
      <w:pPr>
        <w:pStyle w:val="ConsPlusNormal"/>
        <w:widowControl/>
        <w:ind w:firstLine="540"/>
        <w:jc w:val="both"/>
      </w:pPr>
      <w:r>
        <w:t xml:space="preserve">7) предоставление земельных участков для жилищного строительства в собственность, аренду </w:t>
      </w:r>
      <w:r>
        <w:t xml:space="preserve">или безвозмездное срочное пользование в порядке, предусмотренном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ограничений, установленных </w:t>
      </w:r>
      <w:hyperlink r:id="rId12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000000" w:rsidRDefault="00FC4D47">
      <w:pPr>
        <w:pStyle w:val="ConsPlusNormal"/>
        <w:widowControl/>
        <w:ind w:firstLine="540"/>
        <w:jc w:val="both"/>
      </w:pPr>
      <w:r>
        <w:t>8) предоставление земельных участков для создания промышленных парков, технопарков, бизнес-инкубаторов, размещения объектов инфраструктуры в собственность, аренду или безвозмездное</w:t>
      </w:r>
      <w:r>
        <w:t xml:space="preserve"> срочное пользование в порядке, предусмотренном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ограничений, установленных </w:t>
      </w:r>
      <w:hyperlink r:id="rId14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000000" w:rsidRDefault="00FC4D47">
      <w:pPr>
        <w:pStyle w:val="ConsPlusNormal"/>
        <w:widowControl/>
        <w:ind w:firstLine="0"/>
        <w:jc w:val="both"/>
      </w:pPr>
      <w:r>
        <w:t xml:space="preserve">(подп.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21.01.2011 N 20)</w:t>
      </w:r>
    </w:p>
    <w:p w:rsidR="00000000" w:rsidRDefault="00FC4D47">
      <w:pPr>
        <w:pStyle w:val="ConsPlusNormal"/>
        <w:widowControl/>
        <w:ind w:firstLine="540"/>
        <w:jc w:val="both"/>
      </w:pPr>
      <w:r>
        <w:t>9) продажа для жилищного стро</w:t>
      </w:r>
      <w:r>
        <w:t>ительства объектов недвижимого имущества одновременно с земельными участками, на которых расположены такие объекты недвижимого имущества, на аукционе в порядке, предусмотренном законодательством Российской Федерации о приватизации для отчуждения на аукцион</w:t>
      </w:r>
      <w:r>
        <w:t xml:space="preserve">е находящихся в государственной собственности земельных участков и расположенных на них объектов недвижимого имущества, с учетом ограничений, установленных </w:t>
      </w:r>
      <w:hyperlink r:id="rId16" w:history="1">
        <w:r>
          <w:rPr>
            <w:color w:val="0000FF"/>
          </w:rPr>
          <w:t>статьей 14</w:t>
        </w:r>
      </w:hyperlink>
      <w:r>
        <w:t xml:space="preserve"> Федерально</w:t>
      </w:r>
      <w:r>
        <w:t>го закона, для жилищного строительства, создания промышленных парков, технопарков, бизнес-инкубаторов, размещения объектов инфраструктуры;</w:t>
      </w:r>
    </w:p>
    <w:p w:rsidR="00000000" w:rsidRDefault="00FC4D47">
      <w:pPr>
        <w:pStyle w:val="ConsPlusNormal"/>
        <w:widowControl/>
        <w:ind w:firstLine="540"/>
        <w:jc w:val="both"/>
      </w:pPr>
      <w:r>
        <w:t>10) изменение вида разрешенного использования земельных участков в соответствии с документами территориального планир</w:t>
      </w:r>
      <w:r>
        <w:t>ования муниципальных образований (схема территориального планирования муниципального района, генеральный план поселения, генеральный план городского округа).</w:t>
      </w:r>
    </w:p>
    <w:p w:rsidR="00000000" w:rsidRDefault="00FC4D47">
      <w:pPr>
        <w:pStyle w:val="ConsPlusNormal"/>
        <w:widowControl/>
        <w:ind w:firstLine="0"/>
        <w:jc w:val="both"/>
      </w:pPr>
      <w:r>
        <w:lastRenderedPageBreak/>
        <w:t xml:space="preserve">(подп. 10 в ред. </w:t>
      </w:r>
      <w:hyperlink r:id="rId17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Нижегородской области от 21.10.2010 N 710)</w:t>
      </w:r>
    </w:p>
    <w:p w:rsidR="00000000" w:rsidRDefault="00FC4D47">
      <w:pPr>
        <w:pStyle w:val="ConsPlusNormal"/>
        <w:widowControl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000000" w:rsidRDefault="00FC4D47">
      <w:pPr>
        <w:pStyle w:val="ConsPlusNormal"/>
        <w:widowControl/>
        <w:ind w:firstLine="0"/>
        <w:jc w:val="both"/>
      </w:pPr>
    </w:p>
    <w:p w:rsidR="00000000" w:rsidRDefault="00FC4D47">
      <w:pPr>
        <w:pStyle w:val="ConsPlusNormal"/>
        <w:widowControl/>
        <w:ind w:firstLine="0"/>
        <w:jc w:val="right"/>
      </w:pPr>
      <w:r>
        <w:t>Губернатор области</w:t>
      </w:r>
    </w:p>
    <w:p w:rsidR="00000000" w:rsidRDefault="00FC4D47">
      <w:pPr>
        <w:pStyle w:val="ConsPlusNormal"/>
        <w:widowControl/>
        <w:ind w:firstLine="0"/>
        <w:jc w:val="right"/>
      </w:pPr>
      <w:r>
        <w:t>В.П.ШАНЦЕВ</w:t>
      </w:r>
    </w:p>
    <w:p w:rsidR="00000000" w:rsidRDefault="00FC4D47">
      <w:pPr>
        <w:pStyle w:val="ConsPlusNormal"/>
        <w:widowControl/>
        <w:ind w:firstLine="0"/>
      </w:pPr>
    </w:p>
    <w:p w:rsidR="00000000" w:rsidRDefault="00FC4D47">
      <w:pPr>
        <w:pStyle w:val="ConsPlusNormal"/>
        <w:widowControl/>
        <w:ind w:firstLine="0"/>
      </w:pPr>
    </w:p>
    <w:p w:rsidR="00FC4D47" w:rsidRDefault="00FC4D4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C4D4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1987"/>
    <w:rsid w:val="00AF1987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" TargetMode="External"/><Relationship Id="rId13" Type="http://schemas.openxmlformats.org/officeDocument/2006/relationships/hyperlink" Target="consultantplus://offline/main?base=LAW;n=108903;fld=134;dst=1002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207;fld=134" TargetMode="External"/><Relationship Id="rId12" Type="http://schemas.openxmlformats.org/officeDocument/2006/relationships/hyperlink" Target="consultantplus://offline/main?base=LAW;n=108633;fld=134;dst=100234" TargetMode="External"/><Relationship Id="rId17" Type="http://schemas.openxmlformats.org/officeDocument/2006/relationships/hyperlink" Target="consultantplus://offline/main?base=RLAW187;n=46312;fld=134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8633;fld=134;dst=1002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3;fld=134;dst=101051" TargetMode="External"/><Relationship Id="rId11" Type="http://schemas.openxmlformats.org/officeDocument/2006/relationships/hyperlink" Target="consultantplus://offline/main?base=LAW;n=108903;fld=134;dst=100902" TargetMode="External"/><Relationship Id="rId5" Type="http://schemas.openxmlformats.org/officeDocument/2006/relationships/hyperlink" Target="consultantplus://offline/main?base=RLAW187;n=48756;fld=134;dst=100005" TargetMode="External"/><Relationship Id="rId15" Type="http://schemas.openxmlformats.org/officeDocument/2006/relationships/hyperlink" Target="consultantplus://offline/main?base=RLAW187;n=48756;fld=134;dst=100005" TargetMode="External"/><Relationship Id="rId10" Type="http://schemas.openxmlformats.org/officeDocument/2006/relationships/hyperlink" Target="consultantplus://offline/main?base=LAW;n=79540;fld=134;dst=100009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RLAW187;n=46312;fld=134;dst=100005" TargetMode="External"/><Relationship Id="rId9" Type="http://schemas.openxmlformats.org/officeDocument/2006/relationships/hyperlink" Target="consultantplus://offline/main?base=LAW;n=108633;fld=134;dst=100218" TargetMode="External"/><Relationship Id="rId14" Type="http://schemas.openxmlformats.org/officeDocument/2006/relationships/hyperlink" Target="consultantplus://offline/main?base=LAW;n=108633;fld=134;dst=100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2018-11-23T09:53:00Z</dcterms:created>
  <dcterms:modified xsi:type="dcterms:W3CDTF">2018-11-23T09:53:00Z</dcterms:modified>
</cp:coreProperties>
</file>