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3" w:rsidRDefault="00DF7513" w:rsidP="00DF7513">
      <w:pPr>
        <w:pStyle w:val="a3"/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Министерство инвестиций, земельных и имущественных отношений Нижегородской области в соответствии со статьей 39.23 Земельного  кодекса Российской  Федерации, Федеральным законом от 07.06.2013 №108-ФЗ «О подготовке и проведении в Российской Федерации чемпионата мира по футболу </w:t>
      </w:r>
      <w:r>
        <w:rPr>
          <w:szCs w:val="28"/>
          <w:lang w:val="en-US"/>
        </w:rPr>
        <w:t>FIFA</w:t>
      </w:r>
      <w:r>
        <w:rPr>
          <w:szCs w:val="28"/>
        </w:rPr>
        <w:t xml:space="preserve"> 2018 года, Кубка конфедераций </w:t>
      </w:r>
      <w:r>
        <w:rPr>
          <w:szCs w:val="28"/>
          <w:lang w:val="en-US"/>
        </w:rPr>
        <w:t>FIFA</w:t>
      </w:r>
      <w:r>
        <w:rPr>
          <w:szCs w:val="28"/>
        </w:rPr>
        <w:t xml:space="preserve"> 2017 года и внесении изменений в отдельные законодательные акты Российской Федерации», распоряжением Правительства Нижегородской области от 05.08.2015 №1445-р, информирует об установлении сервитута в интересах обладателя  -  ООО «Автозаводская ТЭЦ» в отношении  части земельного  участка площадью 37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находящегося в собственности Нижегородской области и предоставленного ГКУ НО «ГУАД» на праве постоянного бессрочного пользования, с кадастровым номером  52:18:0000000:301, местоположением: Нижегородская обл., г. Нижний Новгород, Автозаводский район, по проспекту Молодежный от проспекта Октября до железнодорожного переезда), с координатами характерных точек: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1 х=-6356,57    у=-10881,31;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2 х=-6347,62    у=-10879,81;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3 х=-6351,13    у=-10858,56;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4 х=-6359,80    у=-10859,98;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5 х=6359,64     у=-10860,97;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6 х=-6351,95    у=-10859,71;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7 х=-6348,77    у=-10878,98;</w:t>
      </w:r>
    </w:p>
    <w:p w:rsidR="00DF7513" w:rsidRDefault="00DF7513" w:rsidP="00DF7513">
      <w:pPr>
        <w:pStyle w:val="a3"/>
        <w:spacing w:line="216" w:lineRule="auto"/>
        <w:ind w:left="709"/>
        <w:jc w:val="both"/>
        <w:rPr>
          <w:szCs w:val="28"/>
        </w:rPr>
      </w:pPr>
      <w:r>
        <w:rPr>
          <w:szCs w:val="28"/>
        </w:rPr>
        <w:t>точка 8 х=-6356,74    у=-10880,32;</w:t>
      </w:r>
    </w:p>
    <w:p w:rsidR="00DF7513" w:rsidRDefault="00DF7513" w:rsidP="00DF7513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схемы границ частей земельного участка на кадастровом плане территории для реконструкции объекта – «Газопровод высокого давления </w:t>
      </w:r>
      <w:r>
        <w:rPr>
          <w:szCs w:val="28"/>
          <w:lang w:val="en-US"/>
        </w:rPr>
        <w:t>I</w:t>
      </w:r>
      <w:r w:rsidRPr="00DF7513">
        <w:rPr>
          <w:szCs w:val="28"/>
        </w:rPr>
        <w:t xml:space="preserve"> </w:t>
      </w:r>
      <w:r>
        <w:rPr>
          <w:szCs w:val="28"/>
        </w:rPr>
        <w:t xml:space="preserve">категории ф530,630 мм «Автозавод – </w:t>
      </w:r>
      <w:proofErr w:type="spellStart"/>
      <w:r>
        <w:rPr>
          <w:szCs w:val="28"/>
        </w:rPr>
        <w:t>п.Доскино</w:t>
      </w:r>
      <w:proofErr w:type="spellEnd"/>
      <w:r>
        <w:rPr>
          <w:szCs w:val="28"/>
        </w:rPr>
        <w:t>», попадающий в зону реконструкции проспекта Молодежный сроком по 31.12.2017 года.</w:t>
      </w:r>
    </w:p>
    <w:p w:rsidR="00DF7513" w:rsidRDefault="00DF7513" w:rsidP="00DF7513">
      <w:pPr>
        <w:ind w:firstLine="709"/>
        <w:jc w:val="both"/>
        <w:rPr>
          <w:szCs w:val="28"/>
        </w:rPr>
      </w:pPr>
    </w:p>
    <w:p w:rsidR="00C86F31" w:rsidRDefault="006707FD"/>
    <w:sectPr w:rsidR="00C8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13"/>
    <w:rsid w:val="00112FE3"/>
    <w:rsid w:val="006707FD"/>
    <w:rsid w:val="00DF7513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Павел О.</dc:creator>
  <cp:lastModifiedBy>HP</cp:lastModifiedBy>
  <cp:revision>2</cp:revision>
  <dcterms:created xsi:type="dcterms:W3CDTF">2018-11-26T15:51:00Z</dcterms:created>
  <dcterms:modified xsi:type="dcterms:W3CDTF">2018-11-26T15:51:00Z</dcterms:modified>
</cp:coreProperties>
</file>