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8" w:rsidRDefault="00AE6F6D">
      <w:pPr>
        <w:pStyle w:val="afc"/>
        <w:ind w:left="51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2A44C8" w:rsidRDefault="00AE6F6D">
      <w:pPr>
        <w:pStyle w:val="afc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министра имущественных  </w:t>
      </w:r>
    </w:p>
    <w:p w:rsidR="002A44C8" w:rsidRDefault="00AE6F6D">
      <w:pPr>
        <w:pStyle w:val="afc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земельных отношений</w:t>
      </w:r>
    </w:p>
    <w:p w:rsidR="002A44C8" w:rsidRPr="00091DDD" w:rsidRDefault="00AE6F6D" w:rsidP="00091DDD">
      <w:pPr>
        <w:pStyle w:val="afc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Нижегородской области </w:t>
      </w:r>
      <w:r w:rsidR="00091DDD">
        <w:rPr>
          <w:sz w:val="24"/>
          <w:szCs w:val="24"/>
        </w:rPr>
        <w:t xml:space="preserve">                                                                                              </w:t>
      </w:r>
      <w:r w:rsidRPr="00091DDD">
        <w:rPr>
          <w:rFonts w:ascii="Times New Roman" w:hAnsi="Times New Roman"/>
          <w:sz w:val="24"/>
          <w:szCs w:val="24"/>
        </w:rPr>
        <w:t xml:space="preserve">от </w:t>
      </w:r>
      <w:r w:rsidR="00091DDD" w:rsidRPr="00091DDD">
        <w:rPr>
          <w:rFonts w:ascii="Times New Roman" w:hAnsi="Times New Roman"/>
          <w:sz w:val="24"/>
          <w:szCs w:val="24"/>
        </w:rPr>
        <w:t>29.12.202</w:t>
      </w:r>
      <w:r w:rsidR="00996220">
        <w:rPr>
          <w:rFonts w:ascii="Times New Roman" w:hAnsi="Times New Roman"/>
          <w:sz w:val="24"/>
          <w:szCs w:val="24"/>
        </w:rPr>
        <w:t>2</w:t>
      </w:r>
      <w:r w:rsidR="00091DDD" w:rsidRPr="00091DDD">
        <w:rPr>
          <w:rFonts w:ascii="Times New Roman" w:hAnsi="Times New Roman"/>
          <w:sz w:val="24"/>
          <w:szCs w:val="24"/>
        </w:rPr>
        <w:t xml:space="preserve"> г.</w:t>
      </w:r>
      <w:r w:rsidRPr="00091DDD">
        <w:rPr>
          <w:rFonts w:ascii="Times New Roman" w:hAnsi="Times New Roman"/>
          <w:sz w:val="24"/>
          <w:szCs w:val="24"/>
        </w:rPr>
        <w:t xml:space="preserve"> №</w:t>
      </w:r>
      <w:r w:rsidR="00091DDD" w:rsidRPr="00091DDD">
        <w:rPr>
          <w:rFonts w:ascii="Times New Roman" w:hAnsi="Times New Roman"/>
          <w:sz w:val="24"/>
          <w:szCs w:val="24"/>
        </w:rPr>
        <w:t xml:space="preserve"> </w:t>
      </w:r>
      <w:r w:rsidR="00091DDD" w:rsidRPr="00996220">
        <w:rPr>
          <w:rFonts w:ascii="Times New Roman" w:hAnsi="Times New Roman"/>
          <w:sz w:val="24"/>
          <w:szCs w:val="24"/>
        </w:rPr>
        <w:t>326-13-</w:t>
      </w:r>
      <w:r w:rsidR="00996220">
        <w:rPr>
          <w:rFonts w:ascii="Times New Roman" w:hAnsi="Times New Roman"/>
          <w:sz w:val="24"/>
          <w:szCs w:val="24"/>
        </w:rPr>
        <w:t>974111</w:t>
      </w:r>
      <w:r w:rsidR="00091DDD" w:rsidRPr="00996220">
        <w:rPr>
          <w:rFonts w:ascii="Times New Roman" w:hAnsi="Times New Roman"/>
          <w:sz w:val="24"/>
          <w:szCs w:val="24"/>
        </w:rPr>
        <w:t>/2</w:t>
      </w:r>
      <w:r w:rsidR="00996220">
        <w:rPr>
          <w:rFonts w:ascii="Times New Roman" w:hAnsi="Times New Roman"/>
          <w:sz w:val="24"/>
          <w:szCs w:val="24"/>
        </w:rPr>
        <w:t>2</w:t>
      </w:r>
    </w:p>
    <w:p w:rsidR="002A44C8" w:rsidRPr="00091DDD" w:rsidRDefault="002A44C8" w:rsidP="00091DDD">
      <w:pPr>
        <w:pStyle w:val="afc"/>
        <w:ind w:left="5103"/>
        <w:jc w:val="right"/>
        <w:rPr>
          <w:b/>
          <w:bCs/>
        </w:rPr>
      </w:pPr>
    </w:p>
    <w:p w:rsidR="002A44C8" w:rsidRDefault="002A44C8">
      <w:pPr>
        <w:pStyle w:val="afc"/>
        <w:jc w:val="center"/>
        <w:rPr>
          <w:rStyle w:val="afb"/>
          <w:rFonts w:ascii="Times New Roman" w:hAnsi="Times New Roman"/>
          <w:color w:val="000000"/>
          <w:sz w:val="24"/>
          <w:szCs w:val="24"/>
        </w:rPr>
      </w:pPr>
    </w:p>
    <w:p w:rsidR="002A44C8" w:rsidRDefault="00AE6F6D" w:rsidP="00D43914">
      <w:pPr>
        <w:pStyle w:val="afc"/>
        <w:jc w:val="center"/>
        <w:rPr>
          <w:rStyle w:val="afb"/>
          <w:rFonts w:ascii="Times New Roman" w:hAnsi="Times New Roman"/>
          <w:color w:val="000000"/>
          <w:sz w:val="28"/>
          <w:szCs w:val="28"/>
        </w:rPr>
      </w:pPr>
      <w:r>
        <w:rPr>
          <w:rStyle w:val="afb"/>
          <w:rFonts w:ascii="Times New Roman" w:hAnsi="Times New Roman"/>
          <w:color w:val="000000"/>
          <w:sz w:val="28"/>
          <w:szCs w:val="28"/>
        </w:rPr>
        <w:t>Положение</w:t>
      </w:r>
    </w:p>
    <w:p w:rsidR="002A44C8" w:rsidRDefault="00AE6F6D" w:rsidP="00D4391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fb"/>
          <w:rFonts w:ascii="Times New Roman" w:hAnsi="Times New Roman"/>
          <w:color w:val="000000"/>
          <w:sz w:val="24"/>
          <w:szCs w:val="24"/>
        </w:rPr>
        <w:t xml:space="preserve">о реализации единой государственной учетной политики в </w:t>
      </w:r>
      <w:r>
        <w:rPr>
          <w:rFonts w:ascii="Times New Roman" w:hAnsi="Times New Roman"/>
          <w:b/>
          <w:bCs/>
          <w:sz w:val="24"/>
          <w:szCs w:val="24"/>
        </w:rPr>
        <w:t>министерстве</w:t>
      </w:r>
    </w:p>
    <w:p w:rsidR="002A44C8" w:rsidRDefault="00AE6F6D" w:rsidP="00D4391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имущественных и земельных отношений</w:t>
      </w:r>
      <w:r>
        <w:rPr>
          <w:rFonts w:ascii="Times New Roman" w:hAnsi="Times New Roman"/>
          <w:b/>
          <w:bCs/>
          <w:sz w:val="24"/>
          <w:szCs w:val="24"/>
        </w:rPr>
        <w:t xml:space="preserve"> Нижегородской области</w:t>
      </w:r>
    </w:p>
    <w:p w:rsidR="002A44C8" w:rsidRDefault="002A44C8">
      <w:pPr>
        <w:rPr>
          <w:sz w:val="24"/>
          <w:szCs w:val="24"/>
        </w:rPr>
      </w:pPr>
    </w:p>
    <w:p w:rsidR="002A44C8" w:rsidRDefault="00AE6F6D">
      <w:pPr>
        <w:pStyle w:val="1"/>
        <w:tabs>
          <w:tab w:val="center" w:pos="4748"/>
          <w:tab w:val="left" w:pos="6444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 Общие положения</w:t>
      </w:r>
      <w:r>
        <w:rPr>
          <w:color w:val="000000"/>
          <w:sz w:val="24"/>
          <w:szCs w:val="24"/>
        </w:rPr>
        <w:tab/>
      </w:r>
    </w:p>
    <w:p w:rsidR="002A44C8" w:rsidRDefault="00AE6F6D" w:rsidP="00760F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имущественных и земельных отношений Нижегородской области (далее Министерство) образовано согласно Указу Губернатора Нижегородской области от 15.01.2018 № 6 «Об утверждении структуры органов исполнительной власти Нижегородской области», путем переименования министерства инвестиций, земельных и имущественных отношений Нижегородской области. В своей деятельности руководствуется Положением о министерстве имущественных и земельных отношений Нижегородской области, утвержденным Постановлением Правительства Нижегородской области от 22.03.2018 № 183.</w:t>
      </w:r>
    </w:p>
    <w:p w:rsidR="002A44C8" w:rsidRDefault="00AE6F6D" w:rsidP="002C23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Бюджетный учет в министерстве осуществляется в соответствии с Федеральным законом от 06.12.2011 №402-ФЗ "О бухгалтерском учете" (далее - Закон №402-ФЗ), Бюджетным кодексом РФ, 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№157н), Приказом Минфина РФ от 06.12.2010 №162н «Об утверждении плана счетов бюджетного учета и инструкции по его применению», Приказом Минфина 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№52н),</w:t>
      </w:r>
      <w:r w:rsidR="003503D7" w:rsidRPr="003503D7">
        <w:rPr>
          <w:sz w:val="24"/>
          <w:szCs w:val="24"/>
        </w:rPr>
        <w:t xml:space="preserve"> Приказ Минфина России от 15.04.2021 № 61н "Об утверждении унифицированных форм электронных документов бухгалтерского учета, применяемых при ведении бюджетного учета, бухгалтерского учета</w:t>
      </w:r>
      <w:r w:rsidR="003503D7">
        <w:rPr>
          <w:color w:val="000000"/>
          <w:sz w:val="22"/>
          <w:szCs w:val="22"/>
        </w:rPr>
        <w:t xml:space="preserve"> государственных (муниципальных) учреждений» (далее – Приказ №61н),</w:t>
      </w:r>
      <w:r>
        <w:rPr>
          <w:sz w:val="24"/>
          <w:szCs w:val="24"/>
        </w:rPr>
        <w:t xml:space="preserve"> Классификацией основных средств, включаемых в амортизационные группы</w:t>
      </w:r>
      <w:r w:rsidR="00760F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60F2F">
        <w:rPr>
          <w:sz w:val="24"/>
          <w:szCs w:val="24"/>
        </w:rPr>
        <w:t>утверждённой</w:t>
      </w:r>
      <w:r>
        <w:rPr>
          <w:sz w:val="24"/>
          <w:szCs w:val="24"/>
        </w:rPr>
        <w:t xml:space="preserve"> Постановлением Правительства РФ от 01.01.2002 №1, Методическими указаниями по инвентаризации имущества и финансовых обя</w:t>
      </w:r>
      <w:r w:rsidR="00760F2F">
        <w:rPr>
          <w:sz w:val="24"/>
          <w:szCs w:val="24"/>
        </w:rPr>
        <w:t>з</w:t>
      </w:r>
      <w:r>
        <w:rPr>
          <w:sz w:val="24"/>
          <w:szCs w:val="24"/>
        </w:rPr>
        <w:t xml:space="preserve">ательств, утвержденные приказом Минфина России от 13.06.1995 №49, Приказом Минфина РФ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Приказ №191н), распорядительными (нормативными) документами, устанавливающими особенность реализации единой государственной учетной политики в Министерстве, федеральными стандартами бухгалтерского учета для организаций государственного сектора, Порядком применения классификации операций сектора государственного управления, утвержденный Приказом Минфина России от 29.11.2017 №209н, Порядком формирования и применения кодов бюджетной классификации Российской Федерации, их структуру и принципы назначения, утвержденный Приказом Минфина России от </w:t>
      </w:r>
      <w:r w:rsidR="00D50619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D50619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D50619">
        <w:rPr>
          <w:sz w:val="24"/>
          <w:szCs w:val="24"/>
        </w:rPr>
        <w:t>22</w:t>
      </w:r>
      <w:r>
        <w:rPr>
          <w:sz w:val="24"/>
          <w:szCs w:val="24"/>
        </w:rPr>
        <w:t xml:space="preserve"> N 8</w:t>
      </w:r>
      <w:r w:rsidR="00D50619">
        <w:rPr>
          <w:sz w:val="24"/>
          <w:szCs w:val="24"/>
        </w:rPr>
        <w:t>2</w:t>
      </w:r>
      <w:r>
        <w:rPr>
          <w:sz w:val="24"/>
          <w:szCs w:val="24"/>
        </w:rPr>
        <w:t xml:space="preserve">н, Постановлением Правительства Нижегородской области от 13 мая 2020 года №377 «О передаче полномочий органов исполнительной власти Нижегородской области», Соглашением от 29 мая 2020 года №9 ЗП «О передаче полномочий по начислению физическим лицам выплат по оплате труда и иных выплат, </w:t>
      </w:r>
      <w:r>
        <w:rPr>
          <w:sz w:val="24"/>
          <w:szCs w:val="24"/>
        </w:rPr>
        <w:lastRenderedPageBreak/>
        <w:t>а также связанных с ними обязательных платежей в бюджеты бюджетной системы Российской Федерации и их перечислению».</w:t>
      </w:r>
    </w:p>
    <w:p w:rsidR="002A44C8" w:rsidRDefault="00AE6F6D" w:rsidP="00760F2F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части налогового учета Министерство руководствуется Налоговым кодексом Российской Федерации.</w:t>
      </w:r>
    </w:p>
    <w:p w:rsidR="002A44C8" w:rsidRDefault="00AE6F6D" w:rsidP="00760F2F">
      <w:pPr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Обязанности по организации ведения бюджетного учета возлагаются на министра имущественных и земельных отношений (далее-министр).</w:t>
      </w:r>
    </w:p>
    <w:p w:rsidR="002A44C8" w:rsidRDefault="00AE6F6D" w:rsidP="00760F2F">
      <w:pPr>
        <w:ind w:firstLine="539"/>
        <w:jc w:val="both"/>
      </w:pPr>
      <w:r>
        <w:rPr>
          <w:sz w:val="24"/>
          <w:szCs w:val="24"/>
        </w:rPr>
        <w:t>Министерство публикует основные положения учетной политики на своем официальном сайте.</w:t>
      </w:r>
    </w:p>
    <w:p w:rsidR="002A44C8" w:rsidRPr="00576BAD" w:rsidRDefault="00AE6F6D" w:rsidP="00760F2F">
      <w:pPr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Ответственным по формированию учетной политики, распорядительных документов, определяющих особенность реализации государственной учетной политики в Министерстве, ведение бюджетного учета, своевременное представление полной и достоверной бухгалтерской отчетности, является начальник отдела бюджетного учета и отчет</w:t>
      </w:r>
      <w:r w:rsidR="00D50619">
        <w:rPr>
          <w:sz w:val="24"/>
          <w:szCs w:val="24"/>
        </w:rPr>
        <w:t>ности (далее - начальник отдела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(Основание: </w:t>
      </w:r>
      <w:hyperlink r:id="rId7" w:history="1">
        <w:r>
          <w:rPr>
            <w:i/>
            <w:sz w:val="24"/>
            <w:szCs w:val="24"/>
          </w:rPr>
          <w:t>ч. 3 ст. 7</w:t>
        </w:r>
      </w:hyperlink>
      <w:r>
        <w:rPr>
          <w:i/>
          <w:sz w:val="24"/>
          <w:szCs w:val="24"/>
        </w:rPr>
        <w:t xml:space="preserve"> Закона N 402-ФЗ)</w:t>
      </w:r>
    </w:p>
    <w:p w:rsidR="002A44C8" w:rsidRDefault="00AE6F6D" w:rsidP="00760F2F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бюджетного учета, кроме начислений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осуществляется отделом бюджетного учета и отчетности. Состав и соподчиненность, а также разделение полномочий и ответственности, структура, функции и задачи устанавливаются начальником отдела и утверждаются приказом руководителя Министерства (Положение об отделе бюджетного учета и отчетности) и должностными инструкциями.</w:t>
      </w:r>
    </w:p>
    <w:p w:rsidR="002A44C8" w:rsidRDefault="00AE6F6D" w:rsidP="00760F2F">
      <w:pPr>
        <w:jc w:val="both"/>
      </w:pPr>
      <w:r>
        <w:rPr>
          <w:sz w:val="24"/>
          <w:szCs w:val="24"/>
        </w:rPr>
        <w:t xml:space="preserve">Начисления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осуществляется уполномоченной организацией государственное казенное учреждение «Центр обслуживания получателей бюджетных средств» (далее- уполномоченная организация </w:t>
      </w:r>
      <w:proofErr w:type="gramStart"/>
      <w:r>
        <w:rPr>
          <w:sz w:val="24"/>
          <w:szCs w:val="24"/>
        </w:rPr>
        <w:t>ГКУ</w:t>
      </w:r>
      <w:proofErr w:type="gramEnd"/>
      <w:r>
        <w:rPr>
          <w:sz w:val="24"/>
          <w:szCs w:val="24"/>
        </w:rPr>
        <w:t xml:space="preserve"> НО «ЦОПБС»)</w:t>
      </w:r>
    </w:p>
    <w:p w:rsidR="002A44C8" w:rsidRDefault="00AE6F6D" w:rsidP="00760F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сотрудников отдела бюджетного учета и отчетности регламентируется их должностными инструкциями.</w:t>
      </w:r>
      <w:r>
        <w:rPr>
          <w:i/>
          <w:iCs/>
          <w:sz w:val="24"/>
          <w:szCs w:val="24"/>
        </w:rPr>
        <w:t xml:space="preserve"> </w:t>
      </w:r>
    </w:p>
    <w:p w:rsidR="002A44C8" w:rsidRDefault="00AE6F6D" w:rsidP="00760F2F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отдела подчиняются начальнику отдела. </w:t>
      </w:r>
    </w:p>
    <w:p w:rsidR="002A44C8" w:rsidRDefault="00AE6F6D" w:rsidP="00760F2F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Бюджетный учет в Министерстве ведется в соответствии с Рабочим планом счетов бюджетного учета, приведенным в </w:t>
      </w:r>
      <w:hyperlink w:anchor="Par410" w:history="1">
        <w:r>
          <w:rPr>
            <w:rFonts w:ascii="Times New Roman" w:hAnsi="Times New Roman"/>
            <w:b/>
            <w:sz w:val="24"/>
            <w:szCs w:val="24"/>
          </w:rPr>
          <w:t>Приложении №1</w:t>
        </w:r>
      </w:hyperlink>
      <w:r>
        <w:rPr>
          <w:rFonts w:ascii="Times New Roman" w:hAnsi="Times New Roman"/>
          <w:sz w:val="24"/>
          <w:szCs w:val="24"/>
        </w:rPr>
        <w:t xml:space="preserve"> к настоящей Учетной политике, разработанным на основе Единого </w:t>
      </w:r>
      <w:hyperlink r:id="rId8" w:history="1">
        <w:r>
          <w:rPr>
            <w:rFonts w:ascii="Times New Roman" w:hAnsi="Times New Roman"/>
            <w:sz w:val="24"/>
            <w:szCs w:val="24"/>
          </w:rPr>
          <w:t>плана</w:t>
        </w:r>
      </w:hyperlink>
      <w:r>
        <w:rPr>
          <w:rFonts w:ascii="Times New Roman" w:hAnsi="Times New Roman"/>
          <w:sz w:val="24"/>
          <w:szCs w:val="24"/>
        </w:rPr>
        <w:t xml:space="preserve"> счетов, утвержденного Приказом №157н, и Приказом №162н.,</w:t>
      </w:r>
      <w:r w:rsidR="00C821A0" w:rsidRPr="00C82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п.19 Стандарта «Концептуальные основы бухгалтерского учета и отчетности организаций государственного сектора».</w:t>
      </w:r>
    </w:p>
    <w:p w:rsidR="002A44C8" w:rsidRDefault="00AE6F6D" w:rsidP="00760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Учет исполнения сметы расходов по бюджету осуществляется с применением бюджетной классификации в соответствии Приказом №</w:t>
      </w:r>
      <w:r w:rsidR="00E64071">
        <w:rPr>
          <w:sz w:val="24"/>
          <w:szCs w:val="24"/>
        </w:rPr>
        <w:t>8</w:t>
      </w:r>
      <w:r w:rsidR="00666553">
        <w:rPr>
          <w:sz w:val="24"/>
          <w:szCs w:val="24"/>
        </w:rPr>
        <w:t>2</w:t>
      </w:r>
      <w:r>
        <w:rPr>
          <w:sz w:val="24"/>
          <w:szCs w:val="24"/>
        </w:rPr>
        <w:t>н</w:t>
      </w:r>
      <w:r w:rsidR="00E64071">
        <w:rPr>
          <w:sz w:val="24"/>
          <w:szCs w:val="24"/>
        </w:rPr>
        <w:t>, №209н</w:t>
      </w:r>
      <w:r>
        <w:rPr>
          <w:sz w:val="24"/>
          <w:szCs w:val="24"/>
        </w:rPr>
        <w:t xml:space="preserve"> и иными нормативными документами, утвержденными в рамках реализации указанного приказа.</w:t>
      </w:r>
    </w:p>
    <w:p w:rsidR="002A44C8" w:rsidRDefault="00AE6F6D" w:rsidP="00760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Министерством, при осуществлении своей деятельности, применяются следующие коды вида финансового обеспечения деятельности:</w:t>
      </w:r>
    </w:p>
    <w:p w:rsidR="002A44C8" w:rsidRDefault="006B39F0" w:rsidP="00760F2F">
      <w:pPr>
        <w:ind w:firstLine="567"/>
        <w:jc w:val="both"/>
        <w:rPr>
          <w:sz w:val="24"/>
          <w:szCs w:val="24"/>
        </w:rPr>
      </w:pPr>
      <w:hyperlink r:id="rId9" w:history="1">
        <w:r w:rsidR="00AE6F6D">
          <w:rPr>
            <w:sz w:val="24"/>
            <w:szCs w:val="24"/>
          </w:rPr>
          <w:t>"1"</w:t>
        </w:r>
      </w:hyperlink>
      <w:r w:rsidR="00AE6F6D">
        <w:rPr>
          <w:sz w:val="24"/>
          <w:szCs w:val="24"/>
        </w:rPr>
        <w:t xml:space="preserve">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2A44C8" w:rsidRPr="00EF73CC" w:rsidRDefault="006B39F0">
      <w:pPr>
        <w:ind w:firstLine="567"/>
        <w:rPr>
          <w:sz w:val="24"/>
          <w:szCs w:val="24"/>
        </w:rPr>
      </w:pPr>
      <w:hyperlink r:id="rId10" w:history="1">
        <w:r w:rsidR="00AE6F6D">
          <w:rPr>
            <w:sz w:val="24"/>
            <w:szCs w:val="24"/>
          </w:rPr>
          <w:t>"3"</w:t>
        </w:r>
      </w:hyperlink>
      <w:r w:rsidR="00AE6F6D">
        <w:rPr>
          <w:sz w:val="24"/>
          <w:szCs w:val="24"/>
        </w:rPr>
        <w:t xml:space="preserve"> - средства во временном распоряжении.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деятельности за счет целевых, безвозмездных, безвозвратных средств и иных поступлений осуществляется раздельно по видам поступлений (источникам поступлений) согласно утвержденным сметам, если обеспечение раздельного учета является обязательным условием предоставления соответствующих средств (поступлений) с дальнейшим включением результата деятельности в единый баланс Министерства.</w:t>
      </w:r>
    </w:p>
    <w:p w:rsidR="00576BAD" w:rsidRDefault="00AE6F6D" w:rsidP="00576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Перевод на русский язык первичных (сводных) учетных документов, составленных на иных языках, осуществляется специализированными организациями при заключении с ними договоров на предоставление услуг по переводу.</w:t>
      </w:r>
    </w:p>
    <w:p w:rsidR="00576BAD" w:rsidRDefault="00576BAD" w:rsidP="00576BAD">
      <w:pPr>
        <w:ind w:firstLine="567"/>
        <w:jc w:val="both"/>
        <w:rPr>
          <w:bCs/>
          <w:sz w:val="24"/>
          <w:szCs w:val="24"/>
        </w:rPr>
      </w:pPr>
      <w:r w:rsidRPr="00576BAD">
        <w:rPr>
          <w:bCs/>
          <w:sz w:val="24"/>
          <w:szCs w:val="24"/>
        </w:rPr>
        <w:t>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Внутренний финансовый аудит осуществляется в Министерстве в соответствии с федеральными стандартами внутреннего финансового аудита и ежегодными планами внутреннего финансового аудита Министерства. Внутренний финансовый аудит в Министерстве осуществляет отдел финансового контроля, ведения учета имущества казны и госконтрактов. </w:t>
      </w: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bookmarkStart w:id="0" w:name="sub_1012"/>
      <w:r>
        <w:rPr>
          <w:color w:val="000000"/>
          <w:sz w:val="24"/>
          <w:szCs w:val="24"/>
        </w:rPr>
        <w:t>2. Форма ведения бухгалтерского учета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Форма ведения бухгалтерского учета - автоматизированная с применением систем автоматизации бухгалтерского учета по следующим учетным блокам:</w:t>
      </w:r>
    </w:p>
    <w:p w:rsidR="002A44C8" w:rsidRDefault="00AE6F6D" w:rsidP="005257D2">
      <w:pPr>
        <w:jc w:val="both"/>
      </w:pPr>
      <w:r>
        <w:rPr>
          <w:sz w:val="24"/>
          <w:szCs w:val="24"/>
        </w:rPr>
        <w:t xml:space="preserve">- оплата труда - начисления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осуществляется уполномоченной организацией </w:t>
      </w:r>
      <w:proofErr w:type="gramStart"/>
      <w:r>
        <w:rPr>
          <w:sz w:val="24"/>
          <w:szCs w:val="24"/>
        </w:rPr>
        <w:t>ГКУ</w:t>
      </w:r>
      <w:proofErr w:type="gramEnd"/>
      <w:r>
        <w:rPr>
          <w:sz w:val="24"/>
          <w:szCs w:val="24"/>
        </w:rPr>
        <w:t xml:space="preserve"> НО «ЦОПБС» на используемом для этих целей программном обеспечении.</w:t>
      </w:r>
    </w:p>
    <w:p w:rsidR="002A44C8" w:rsidRDefault="00AE6F6D" w:rsidP="005257D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бухгалтерия (блок составления сводных регистров бюджетного учета, баланса учреждения и бюджетной отчетности) - «1С: Предприятие 8.3 «Бухгалтерия государственного учреждения». 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(Основание</w:t>
      </w:r>
      <w:r w:rsidRPr="005D4042">
        <w:rPr>
          <w:i/>
          <w:iCs/>
          <w:sz w:val="24"/>
          <w:szCs w:val="24"/>
        </w:rPr>
        <w:t xml:space="preserve">: </w:t>
      </w:r>
      <w:r w:rsidR="005D4042" w:rsidRPr="005D4042">
        <w:rPr>
          <w:i/>
        </w:rPr>
        <w:t>п.</w:t>
      </w:r>
      <w:hyperlink r:id="rId11" w:history="1">
        <w:r>
          <w:rPr>
            <w:i/>
            <w:iCs/>
            <w:sz w:val="24"/>
            <w:szCs w:val="24"/>
          </w:rPr>
          <w:t>19</w:t>
        </w:r>
      </w:hyperlink>
      <w:r>
        <w:rPr>
          <w:i/>
          <w:iCs/>
          <w:sz w:val="24"/>
          <w:szCs w:val="24"/>
        </w:rPr>
        <w:t xml:space="preserve"> Приказа N 157н)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и порядок ведения регистров бюджетного учета, используемые при формировании бюджетного учета, а также мероприятия по обеспечению сохранности бухгалтерских документов, перечень первичных документов установлены в </w:t>
      </w:r>
      <w:r>
        <w:rPr>
          <w:b/>
          <w:sz w:val="24"/>
          <w:szCs w:val="24"/>
        </w:rPr>
        <w:t>Приложении №2</w:t>
      </w:r>
      <w:r>
        <w:rPr>
          <w:sz w:val="24"/>
          <w:szCs w:val="24"/>
        </w:rPr>
        <w:t>"О формах и порядке формирования регистров бюджетного учета, первичных документов и порядка их архивации".</w:t>
      </w:r>
    </w:p>
    <w:p w:rsidR="002A44C8" w:rsidRDefault="002A44C8" w:rsidP="005257D2">
      <w:pPr>
        <w:ind w:firstLine="567"/>
        <w:jc w:val="both"/>
      </w:pPr>
    </w:p>
    <w:p w:rsidR="002A44C8" w:rsidRDefault="00AE6F6D" w:rsidP="005257D2">
      <w:pPr>
        <w:pStyle w:val="1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 Документальное оформление хозяйственных операций</w:t>
      </w:r>
      <w:bookmarkEnd w:id="0"/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Хозяйственные операции, производимые </w:t>
      </w:r>
      <w:r w:rsidR="000B4484">
        <w:rPr>
          <w:rFonts w:ascii="Times New Roman" w:hAnsi="Times New Roman"/>
          <w:sz w:val="24"/>
          <w:szCs w:val="24"/>
        </w:rPr>
        <w:t>Министерством,</w:t>
      </w:r>
      <w:r>
        <w:rPr>
          <w:rFonts w:ascii="Times New Roman" w:hAnsi="Times New Roman"/>
          <w:sz w:val="24"/>
          <w:szCs w:val="24"/>
        </w:rPr>
        <w:t xml:space="preserve"> отражаются в бюджетном учете на основании оправдательных документов (первичных учетных документов).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</w:t>
      </w:r>
      <w:r w:rsidR="00666553">
        <w:rPr>
          <w:sz w:val="24"/>
          <w:szCs w:val="24"/>
        </w:rPr>
        <w:t>о</w:t>
      </w:r>
      <w:r>
        <w:rPr>
          <w:sz w:val="24"/>
          <w:szCs w:val="24"/>
        </w:rPr>
        <w:t>, на котор</w:t>
      </w:r>
      <w:r w:rsidR="00666553">
        <w:rPr>
          <w:sz w:val="24"/>
          <w:szCs w:val="24"/>
        </w:rPr>
        <w:t>о</w:t>
      </w:r>
      <w:r>
        <w:rPr>
          <w:sz w:val="24"/>
          <w:szCs w:val="24"/>
        </w:rPr>
        <w:t>е возложено ведение бухгалтерского учета не нес</w:t>
      </w:r>
      <w:r w:rsidR="00666553">
        <w:rPr>
          <w:sz w:val="24"/>
          <w:szCs w:val="24"/>
        </w:rPr>
        <w:t>е</w:t>
      </w:r>
      <w:r>
        <w:rPr>
          <w:sz w:val="24"/>
          <w:szCs w:val="24"/>
        </w:rPr>
        <w:t xml:space="preserve">т ответственность за соответствие составленных другими лицами первичных учетных документов свершившимся фактам хозяйственной жизни (п.3 ст.9 Закона №402-ФЗ). 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внутренний контроль совершения фактов хозяйственной жизни является ответственный исполнитель, который ставит свои подписи на первичных документах в качестве подтверждения свершившихся действий.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Проверенные и принятые к учету первичные учетные документы систематизируются по датам совершения операций (в хронологическом порядке) и отражаются накопительным способом в регистрах бюджетного учета - журналах операций.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первичных документов, а также применяемые правила заполнения учетных документов, объем и сроки их предоставления ответственными лицами в отдел организации бюджетного учета и отчетности по факту совершения хозяйственных операций, устанавливаются начальником отдела путем принятия внутренних распорядительных документов согласно положения "О формах и порядке формирования регистров бюджетного учета, первичных документов и порядка их архивации" (</w:t>
      </w:r>
      <w:r>
        <w:rPr>
          <w:b/>
          <w:sz w:val="24"/>
          <w:szCs w:val="24"/>
        </w:rPr>
        <w:t>Приложение №2</w:t>
      </w:r>
      <w:r>
        <w:rPr>
          <w:sz w:val="24"/>
          <w:szCs w:val="24"/>
        </w:rPr>
        <w:t>).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начальника отдела по документальному оформлению хозяйственных операций и представлению в отдел бюджетного учета и отчетности необходимых документов и сведений, обязательны для всех сотрудников Министерства.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выдачи наличных денежных средств и денежных документов под отчет и оформления отчетов по их использованию осуществляется на основании </w:t>
      </w:r>
      <w:r>
        <w:rPr>
          <w:b/>
          <w:sz w:val="24"/>
          <w:szCs w:val="24"/>
        </w:rPr>
        <w:t>Приложения №3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которыми оформляются хозяйственные операции с денежными средствами (по лицевым счетам, открытым в органах, осуществляющих кассовое исполнение бюджетов и по кассе), а также документы по договорам (сделкам), устанавливающие и (или) изменяющие финансовые обязательства Министерства подписываются руководителем и начальником отдела или уполномоченными на то лицами, в качестве которых выступают лица, на которых </w:t>
      </w:r>
      <w:r>
        <w:rPr>
          <w:rFonts w:ascii="Times New Roman" w:hAnsi="Times New Roman"/>
          <w:sz w:val="24"/>
          <w:szCs w:val="24"/>
        </w:rPr>
        <w:lastRenderedPageBreak/>
        <w:t>оформлены, в соответствии с действующим законодательством документы, устанавливающие их право на подписание подобных документов от имени Министерства.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бюджетного учета формируются раздельно по каждому источнику бюджетного финансирования.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Учетные документы представляются в отдел бюджетного учета и отчетности Министерства согласно Порядку взаимодействия между структурными подразделениями документооборота, приведенного в </w:t>
      </w:r>
      <w:r>
        <w:rPr>
          <w:rFonts w:ascii="Times New Roman" w:hAnsi="Times New Roman"/>
          <w:b/>
          <w:sz w:val="24"/>
          <w:szCs w:val="24"/>
        </w:rPr>
        <w:t>Приложении №4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а также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начальника отдела, оформленного внутренним распорядительным документом или в порядке, вытекающим из обычая делопроизводства. 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Учетные документы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передаются в министерство уполномоченной организацией </w:t>
      </w:r>
      <w:proofErr w:type="gramStart"/>
      <w:r>
        <w:rPr>
          <w:rFonts w:ascii="Times New Roman" w:hAnsi="Times New Roman"/>
          <w:sz w:val="24"/>
          <w:szCs w:val="24"/>
        </w:rPr>
        <w:t>ГКУ</w:t>
      </w:r>
      <w:proofErr w:type="gramEnd"/>
      <w:r>
        <w:rPr>
          <w:rFonts w:ascii="Times New Roman" w:hAnsi="Times New Roman"/>
          <w:sz w:val="24"/>
          <w:szCs w:val="24"/>
        </w:rPr>
        <w:t xml:space="preserve"> НО «ЦОПБС» согласно графику документооборота, являющемуся приложением к соглашению №9 ЗП от 29.05.2020г.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Регистры бухгалтерского учета (копии электронных регистров) хранятся на бумажных носителях.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(Основание: </w:t>
      </w:r>
      <w:hyperlink r:id="rId12" w:history="1">
        <w:r>
          <w:rPr>
            <w:i/>
            <w:iCs/>
            <w:sz w:val="24"/>
            <w:szCs w:val="24"/>
          </w:rPr>
          <w:t>п.</w:t>
        </w:r>
      </w:hyperlink>
      <w:r>
        <w:rPr>
          <w:i/>
          <w:iCs/>
          <w:sz w:val="24"/>
          <w:szCs w:val="24"/>
        </w:rPr>
        <w:t xml:space="preserve"> </w:t>
      </w:r>
      <w:hyperlink r:id="rId13" w:history="1">
        <w:r>
          <w:rPr>
            <w:i/>
            <w:iCs/>
            <w:sz w:val="24"/>
            <w:szCs w:val="24"/>
          </w:rPr>
          <w:t>19</w:t>
        </w:r>
      </w:hyperlink>
      <w:r>
        <w:rPr>
          <w:i/>
          <w:iCs/>
          <w:sz w:val="24"/>
          <w:szCs w:val="24"/>
        </w:rPr>
        <w:t xml:space="preserve"> Приказа N 157н)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Регистры бухгалтерского учета распечатываются на бумажных носителях с периодичностью, приведенной в </w:t>
      </w:r>
      <w:hyperlink r:id="rId14" w:history="1">
        <w:r>
          <w:rPr>
            <w:b/>
            <w:sz w:val="24"/>
            <w:szCs w:val="24"/>
          </w:rPr>
          <w:t xml:space="preserve">Приложении N </w:t>
        </w:r>
      </w:hyperlink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к настоящей Учетной политике.</w:t>
      </w:r>
    </w:p>
    <w:p w:rsidR="002A44C8" w:rsidRDefault="00AE6F6D" w:rsidP="005257D2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(Основание: </w:t>
      </w:r>
      <w:hyperlink r:id="rId15" w:history="1">
        <w:r>
          <w:rPr>
            <w:i/>
            <w:iCs/>
            <w:sz w:val="24"/>
            <w:szCs w:val="24"/>
          </w:rPr>
          <w:t>п. 19</w:t>
        </w:r>
      </w:hyperlink>
      <w:r>
        <w:rPr>
          <w:i/>
          <w:iCs/>
          <w:sz w:val="24"/>
          <w:szCs w:val="24"/>
        </w:rPr>
        <w:t xml:space="preserve"> Приказа N 157н)</w:t>
      </w:r>
    </w:p>
    <w:p w:rsidR="002A44C8" w:rsidRDefault="002A44C8" w:rsidP="005257D2">
      <w:pPr>
        <w:ind w:firstLine="540"/>
        <w:jc w:val="both"/>
        <w:rPr>
          <w:sz w:val="24"/>
          <w:szCs w:val="24"/>
        </w:rPr>
      </w:pP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Рабочий план счетов</w:t>
      </w:r>
    </w:p>
    <w:p w:rsidR="002A44C8" w:rsidRDefault="00AE6F6D" w:rsidP="005257D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отражении операций на счетах бюджетного учета применяется корреспонденция счетов:</w:t>
      </w:r>
    </w:p>
    <w:p w:rsidR="002A44C8" w:rsidRDefault="00AE6F6D" w:rsidP="005257D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предусмотренная Приказом №157н, </w:t>
      </w:r>
      <w:hyperlink r:id="rId16" w:history="1">
        <w:r>
          <w:rPr>
            <w:b/>
            <w:color w:val="000000"/>
            <w:sz w:val="24"/>
            <w:szCs w:val="24"/>
          </w:rPr>
          <w:t>Приложением №1</w:t>
        </w:r>
      </w:hyperlink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"План счетов бухгалтерского  учета" к Приказу №157н и п. 19 Стандарта «Концептуальные основы бухучета и отчетности».</w:t>
      </w:r>
    </w:p>
    <w:p w:rsidR="002A44C8" w:rsidRDefault="00AE6F6D" w:rsidP="005257D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определенная Министерством самостоятельно (при отсутствии ее Приказе №157н и </w:t>
      </w:r>
      <w:hyperlink r:id="rId17" w:history="1">
        <w:r>
          <w:rPr>
            <w:color w:val="000000"/>
            <w:sz w:val="24"/>
            <w:szCs w:val="24"/>
          </w:rPr>
          <w:t>Приложении №1</w:t>
        </w:r>
      </w:hyperlink>
      <w:r>
        <w:rPr>
          <w:color w:val="000000"/>
          <w:sz w:val="24"/>
          <w:szCs w:val="24"/>
        </w:rPr>
        <w:t xml:space="preserve"> " План счетов бухгалтерского  учета " к Приказу №157н).</w:t>
      </w:r>
    </w:p>
    <w:p w:rsidR="002A44C8" w:rsidRDefault="002A44C8" w:rsidP="005257D2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1" w:name="sub_1013"/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Формы первичных документов</w:t>
      </w:r>
    </w:p>
    <w:bookmarkEnd w:id="1"/>
    <w:p w:rsidR="002A44C8" w:rsidRPr="005D3E2B" w:rsidRDefault="00AE6F6D" w:rsidP="005257D2">
      <w:pPr>
        <w:ind w:firstLine="567"/>
        <w:jc w:val="both"/>
        <w:rPr>
          <w:sz w:val="24"/>
        </w:rPr>
      </w:pPr>
      <w:r>
        <w:rPr>
          <w:sz w:val="24"/>
        </w:rPr>
        <w:t>Для ведения бюджетного учета применяются:</w:t>
      </w:r>
    </w:p>
    <w:p w:rsidR="002A44C8" w:rsidRPr="00D7645C" w:rsidRDefault="00AE6F6D" w:rsidP="005257D2">
      <w:pPr>
        <w:ind w:firstLine="567"/>
        <w:jc w:val="both"/>
        <w:rPr>
          <w:sz w:val="24"/>
        </w:rPr>
      </w:pPr>
      <w:r w:rsidRPr="00D7645C">
        <w:rPr>
          <w:sz w:val="24"/>
        </w:rPr>
        <w:t xml:space="preserve">- унифицированные </w:t>
      </w:r>
      <w:hyperlink r:id="rId18" w:history="1">
        <w:r w:rsidRPr="00D7645C">
          <w:rPr>
            <w:sz w:val="24"/>
          </w:rPr>
          <w:t>формы</w:t>
        </w:r>
      </w:hyperlink>
      <w:r w:rsidRPr="00D7645C">
        <w:rPr>
          <w:sz w:val="24"/>
        </w:rPr>
        <w:t xml:space="preserve"> первичных документов, утвержденные Приказом №52н;</w:t>
      </w:r>
      <w:r w:rsidR="005D3E2B" w:rsidRPr="00D7645C">
        <w:rPr>
          <w:sz w:val="24"/>
        </w:rPr>
        <w:t xml:space="preserve"> №61н</w:t>
      </w:r>
    </w:p>
    <w:p w:rsidR="002A44C8" w:rsidRPr="00D7645C" w:rsidRDefault="00AE6F6D" w:rsidP="005257D2">
      <w:pPr>
        <w:ind w:firstLine="567"/>
        <w:jc w:val="both"/>
        <w:rPr>
          <w:sz w:val="24"/>
        </w:rPr>
      </w:pPr>
      <w:r w:rsidRPr="00D7645C">
        <w:rPr>
          <w:sz w:val="24"/>
        </w:rPr>
        <w:t xml:space="preserve">-другие унифицированные формы первичных документов (в случае их отсутствия в </w:t>
      </w:r>
      <w:hyperlink r:id="rId19" w:history="1">
        <w:r w:rsidRPr="00D7645C">
          <w:rPr>
            <w:sz w:val="24"/>
          </w:rPr>
          <w:t>Приказе</w:t>
        </w:r>
      </w:hyperlink>
      <w:r w:rsidRPr="00D7645C">
        <w:rPr>
          <w:sz w:val="24"/>
        </w:rPr>
        <w:t xml:space="preserve"> №52н</w:t>
      </w:r>
      <w:r w:rsidR="005D3E2B" w:rsidRPr="00D7645C">
        <w:rPr>
          <w:sz w:val="24"/>
        </w:rPr>
        <w:t>, №61н</w:t>
      </w:r>
      <w:r w:rsidRPr="00D7645C">
        <w:rPr>
          <w:sz w:val="24"/>
        </w:rPr>
        <w:t>);</w:t>
      </w:r>
    </w:p>
    <w:p w:rsidR="002A44C8" w:rsidRDefault="00AE6F6D" w:rsidP="005257D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7645C">
        <w:rPr>
          <w:rFonts w:ascii="Times New Roman" w:hAnsi="Times New Roman"/>
          <w:sz w:val="24"/>
        </w:rPr>
        <w:t>- самостоятельно разработанные Министерством формы документов, содержащие обязательные реквизиты, указанные</w:t>
      </w:r>
      <w:r>
        <w:rPr>
          <w:rFonts w:ascii="Times New Roman" w:hAnsi="Times New Roman"/>
          <w:sz w:val="24"/>
        </w:rPr>
        <w:t xml:space="preserve"> в </w:t>
      </w:r>
      <w:hyperlink r:id="rId20" w:history="1">
        <w:r>
          <w:rPr>
            <w:rFonts w:ascii="Times New Roman" w:hAnsi="Times New Roman"/>
            <w:sz w:val="24"/>
          </w:rPr>
          <w:t>ч. 2 ст. 9</w:t>
        </w:r>
      </w:hyperlink>
      <w:r>
        <w:rPr>
          <w:rFonts w:ascii="Times New Roman" w:hAnsi="Times New Roman"/>
          <w:sz w:val="24"/>
        </w:rPr>
        <w:t xml:space="preserve"> Закона №402-ФЗ, которые утверждаются приказами по Министерству.</w:t>
      </w:r>
    </w:p>
    <w:p w:rsidR="002A44C8" w:rsidRDefault="00AE6F6D" w:rsidP="005257D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должностей, имеющих право подписи (утверждения) первичных учетных документов, </w:t>
      </w:r>
      <w:r w:rsidR="005257D2">
        <w:rPr>
          <w:rFonts w:ascii="Times New Roman" w:hAnsi="Times New Roman"/>
          <w:sz w:val="24"/>
        </w:rPr>
        <w:t>приведен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Прилож</w:t>
      </w:r>
      <w:bookmarkStart w:id="2" w:name="_GoBack"/>
      <w:bookmarkEnd w:id="2"/>
      <w:r>
        <w:rPr>
          <w:rFonts w:ascii="Times New Roman" w:hAnsi="Times New Roman"/>
          <w:b/>
          <w:sz w:val="24"/>
        </w:rPr>
        <w:t>ении №5</w:t>
      </w:r>
      <w:r>
        <w:rPr>
          <w:rFonts w:ascii="Times New Roman" w:hAnsi="Times New Roman"/>
          <w:sz w:val="24"/>
        </w:rPr>
        <w:t xml:space="preserve"> к настоящему Положению об учетной политике.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Первичные учетные документы принимаются к учету, если они составлены по установленной форме, с обязательным отражением в них всех, предусмотренных порядком их ведения реквизитов.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типовых форм с указанием основных и дополнительных реквизитов, используемых в Министерстве, устанавливается </w:t>
      </w:r>
      <w:r>
        <w:rPr>
          <w:rFonts w:ascii="Times New Roman" w:hAnsi="Times New Roman"/>
          <w:b/>
          <w:color w:val="000000"/>
          <w:sz w:val="24"/>
          <w:szCs w:val="24"/>
        </w:rPr>
        <w:t>Приложением №2</w:t>
      </w:r>
      <w:r>
        <w:rPr>
          <w:rFonts w:ascii="Times New Roman" w:hAnsi="Times New Roman"/>
          <w:color w:val="000000"/>
          <w:sz w:val="24"/>
          <w:szCs w:val="24"/>
        </w:rPr>
        <w:t xml:space="preserve"> «О формах и порядке формирования регистров бюджетного учета, первичных документов и порядка их архивации».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состав дополнительных форм входят:</w:t>
      </w:r>
    </w:p>
    <w:p w:rsidR="002A44C8" w:rsidRDefault="00AE6F6D" w:rsidP="005257D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57D2">
        <w:rPr>
          <w:rFonts w:ascii="Times New Roman" w:hAnsi="Times New Roman"/>
          <w:sz w:val="24"/>
          <w:szCs w:val="24"/>
        </w:rPr>
        <w:t>все формы первичных учетных документов,</w:t>
      </w:r>
      <w:r>
        <w:rPr>
          <w:rFonts w:ascii="Times New Roman" w:hAnsi="Times New Roman"/>
          <w:sz w:val="24"/>
          <w:szCs w:val="24"/>
        </w:rPr>
        <w:t xml:space="preserve"> разработанные и внедренные программой «1С: Предприятие 8.3 «Бухгалтерия государственного учреждения» и программным обеспечением уполномоченной организации </w:t>
      </w:r>
      <w:proofErr w:type="gramStart"/>
      <w:r>
        <w:rPr>
          <w:rFonts w:ascii="Times New Roman" w:hAnsi="Times New Roman"/>
          <w:sz w:val="24"/>
          <w:szCs w:val="24"/>
        </w:rPr>
        <w:t>ГКУ</w:t>
      </w:r>
      <w:proofErr w:type="gramEnd"/>
      <w:r>
        <w:rPr>
          <w:rFonts w:ascii="Times New Roman" w:hAnsi="Times New Roman"/>
          <w:sz w:val="24"/>
          <w:szCs w:val="24"/>
        </w:rPr>
        <w:t xml:space="preserve"> НО «ЦОПБС». 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поименованные в настоящей Учетной политике, которые не являются первичными учетными документами или регистрами бухгалтерского учета, если иное не </w:t>
      </w:r>
      <w:r>
        <w:rPr>
          <w:sz w:val="24"/>
          <w:szCs w:val="24"/>
        </w:rPr>
        <w:lastRenderedPageBreak/>
        <w:t xml:space="preserve">установлено настоящей Учетной политикой, составляются в соответствии с обычаями (при их отсутствии - в свободной форме) и прилагаются к соответствующему первичному учетному документу (при его отсутствии - к Бухгалтерской справке </w:t>
      </w:r>
      <w:hyperlink r:id="rId21" w:history="1">
        <w:r>
          <w:rPr>
            <w:sz w:val="24"/>
            <w:szCs w:val="24"/>
          </w:rPr>
          <w:t>(ф. 0504833)</w:t>
        </w:r>
      </w:hyperlink>
      <w:r>
        <w:rPr>
          <w:sz w:val="24"/>
          <w:szCs w:val="24"/>
        </w:rPr>
        <w:t>, которая служит основанием для отражения операции в бухгалтерском учете).</w:t>
      </w:r>
    </w:p>
    <w:p w:rsidR="004B4C11" w:rsidRDefault="00AE6F6D" w:rsidP="004B4C1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Первичные учетные документы составляются на бумажных носителях</w:t>
      </w:r>
      <w:r w:rsidR="000B448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0B4484" w:rsidRPr="000B4484">
        <w:rPr>
          <w:sz w:val="24"/>
          <w:szCs w:val="24"/>
        </w:rPr>
        <w:t>и (или) в виде электронного документа, подписанного электронной подписью</w:t>
      </w:r>
      <w:r w:rsidR="000B4484">
        <w:rPr>
          <w:sz w:val="24"/>
          <w:szCs w:val="24"/>
        </w:rPr>
        <w:t>.</w:t>
      </w:r>
    </w:p>
    <w:p w:rsidR="004B4C11" w:rsidRDefault="004B4C11" w:rsidP="004B4C11">
      <w:pPr>
        <w:ind w:firstLine="540"/>
        <w:jc w:val="both"/>
        <w:rPr>
          <w:sz w:val="24"/>
          <w:szCs w:val="24"/>
        </w:rPr>
      </w:pPr>
      <w:r w:rsidRPr="004B4C11">
        <w:rPr>
          <w:sz w:val="24"/>
          <w:szCs w:val="24"/>
        </w:rPr>
        <w:t>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носителе, изготавливается его копия на бумажном носителе.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22" w:history="1">
        <w:r>
          <w:rPr>
            <w:sz w:val="24"/>
            <w:szCs w:val="24"/>
          </w:rPr>
          <w:t>Приказом</w:t>
        </w:r>
      </w:hyperlink>
      <w:r>
        <w:rPr>
          <w:sz w:val="24"/>
          <w:szCs w:val="24"/>
        </w:rPr>
        <w:t xml:space="preserve"> Минфина России от 30.03.2015 N 52н, </w:t>
      </w:r>
      <w:r w:rsidR="005D3E2B">
        <w:rPr>
          <w:sz w:val="24"/>
          <w:szCs w:val="24"/>
        </w:rPr>
        <w:t xml:space="preserve">№61н </w:t>
      </w:r>
      <w:r>
        <w:rPr>
          <w:sz w:val="24"/>
          <w:szCs w:val="24"/>
        </w:rPr>
        <w:t xml:space="preserve">а также в регистрах, разработанных Министерством самостоятельно. 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(Основание: </w:t>
      </w:r>
      <w:hyperlink r:id="rId23" w:history="1">
        <w:r>
          <w:rPr>
            <w:i/>
            <w:iCs/>
            <w:sz w:val="24"/>
            <w:szCs w:val="24"/>
          </w:rPr>
          <w:t>ч. 5 ст. 10</w:t>
        </w:r>
      </w:hyperlink>
      <w:r>
        <w:rPr>
          <w:i/>
          <w:iCs/>
          <w:sz w:val="24"/>
          <w:szCs w:val="24"/>
        </w:rPr>
        <w:t xml:space="preserve"> Закона N 402-ФЗ, </w:t>
      </w:r>
      <w:hyperlink r:id="rId24" w:history="1">
        <w:r>
          <w:rPr>
            <w:i/>
            <w:iCs/>
            <w:sz w:val="24"/>
            <w:szCs w:val="24"/>
          </w:rPr>
          <w:t>п. 11</w:t>
        </w:r>
      </w:hyperlink>
      <w:r>
        <w:rPr>
          <w:i/>
          <w:iCs/>
          <w:sz w:val="24"/>
          <w:szCs w:val="24"/>
        </w:rPr>
        <w:t xml:space="preserve"> Приказа N 157н)</w:t>
      </w:r>
    </w:p>
    <w:p w:rsidR="002A44C8" w:rsidRDefault="002A44C8" w:rsidP="005257D2">
      <w:pPr>
        <w:ind w:firstLine="567"/>
        <w:jc w:val="both"/>
      </w:pPr>
    </w:p>
    <w:p w:rsidR="002A44C8" w:rsidRDefault="00AE6F6D" w:rsidP="005257D2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Учет нефинансовых активов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учета нефинансовых активов в Министерстве осуществляется на основании </w:t>
      </w:r>
      <w:r>
        <w:rPr>
          <w:b/>
          <w:sz w:val="24"/>
          <w:szCs w:val="24"/>
        </w:rPr>
        <w:t>Приложения №7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C8" w:rsidRDefault="00AE6F6D" w:rsidP="005257D2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7. Обесценение активов.   </w:t>
      </w:r>
    </w:p>
    <w:p w:rsidR="002A44C8" w:rsidRDefault="00AE6F6D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виду активов, к которым относится обесценение, оно классифицируется как:</w:t>
      </w:r>
    </w:p>
    <w:p w:rsidR="002A44C8" w:rsidRDefault="00AE6F6D" w:rsidP="005257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обесценение основных средств и незавершенного строительства;</w:t>
      </w:r>
    </w:p>
    <w:p w:rsidR="002A44C8" w:rsidRDefault="00AE6F6D" w:rsidP="005257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обесценение нематериальных активов;</w:t>
      </w:r>
    </w:p>
    <w:p w:rsidR="002A44C8" w:rsidRDefault="00AE6F6D" w:rsidP="005257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обесценение прочих долгосрочных активов.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данных активов министерство проводит тест на обесценение активов в конце каждого отчетного периода. Тест проводит комиссия министерства, назначенная приказом о проведении инвентаризации в рамках годовой инвентаризации имущества, проводимой перед составлением годовой отчетности. Комиссия проверяет внешние и внутренние признаки обесценения активов, перечисленных в п.7-9 стандарта «Обесценение активов».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признаков обесценения необходим расчет справедливой стоимости, которая определяется методом рыночных цен.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 результатам выявленных признаков обесценения актива принимается решение об учете актива на забалансовом счете, в дальнейшем проведение теста на обесценение такого актива не осуществляется.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теста на обесценение отражаются в инвентаризационной описи.</w:t>
      </w:r>
    </w:p>
    <w:p w:rsidR="002A44C8" w:rsidRDefault="00AE6F6D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C8" w:rsidRDefault="00AE6F6D" w:rsidP="005257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Учет финансовых активов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учета финансовых активов в Министерстве осуществляется на основании </w:t>
      </w:r>
      <w:r>
        <w:rPr>
          <w:b/>
          <w:sz w:val="24"/>
          <w:szCs w:val="24"/>
        </w:rPr>
        <w:t>Приложения №12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Порядок ведения бюджетного учета администратора поступлений</w:t>
      </w:r>
    </w:p>
    <w:p w:rsidR="002A44C8" w:rsidRDefault="00AE6F6D" w:rsidP="005257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бюджеты бюджетной системы РФ</w:t>
      </w:r>
    </w:p>
    <w:p w:rsidR="00040387" w:rsidRDefault="00040387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160.1. Бюджетного кодекса РФ</w:t>
      </w:r>
      <w:r w:rsidR="008C4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Министерство является главным администратором доходов областного бюджета. 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Бюджетный учет администрируемых доходов в Министерстве регулируется </w:t>
      </w:r>
      <w:r>
        <w:rPr>
          <w:b/>
          <w:sz w:val="24"/>
          <w:szCs w:val="24"/>
        </w:rPr>
        <w:t>Инструкцией по ведению оперативного и бюджетного учета доходов</w:t>
      </w:r>
      <w:r>
        <w:rPr>
          <w:sz w:val="24"/>
          <w:szCs w:val="24"/>
        </w:rPr>
        <w:t>, утвержденной отдельным приказом.</w:t>
      </w:r>
    </w:p>
    <w:p w:rsidR="00040387" w:rsidRDefault="00040387" w:rsidP="005257D2">
      <w:pPr>
        <w:ind w:firstLine="567"/>
        <w:jc w:val="both"/>
        <w:rPr>
          <w:sz w:val="24"/>
          <w:szCs w:val="24"/>
        </w:rPr>
      </w:pP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44C8" w:rsidRDefault="00AE6F6D" w:rsidP="005257D2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 Учет расчетов</w:t>
      </w:r>
    </w:p>
    <w:p w:rsidR="002A44C8" w:rsidRDefault="002A44C8" w:rsidP="005257D2">
      <w:pPr>
        <w:pStyle w:val="ConsPlusNonformat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учета расчетов с персоналом, поставщиками и подрядчиками, покупателями и заказчиками, а также с подотчетными лицами в Министерстве осуществляется на основании </w:t>
      </w:r>
      <w:r>
        <w:rPr>
          <w:b/>
          <w:sz w:val="24"/>
          <w:szCs w:val="24"/>
        </w:rPr>
        <w:t>Приложения №13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C8" w:rsidRDefault="00AE6F6D" w:rsidP="005257D2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Учет санкционирования расходов</w:t>
      </w:r>
    </w:p>
    <w:p w:rsidR="002A44C8" w:rsidRPr="00040387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учета операций с бюджетными ассигнованиями, лимитами бюджетных обязательств, принятием Министерством обязательств осуществляется на основании </w:t>
      </w:r>
      <w:r>
        <w:rPr>
          <w:b/>
          <w:sz w:val="24"/>
          <w:szCs w:val="24"/>
        </w:rPr>
        <w:t>Приложения №10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2A44C8" w:rsidP="005257D2">
      <w:pPr>
        <w:ind w:firstLine="567"/>
        <w:jc w:val="both"/>
        <w:rPr>
          <w:iCs/>
          <w:sz w:val="24"/>
          <w:szCs w:val="24"/>
        </w:rPr>
      </w:pPr>
    </w:p>
    <w:p w:rsidR="002A44C8" w:rsidRDefault="00AE6F6D" w:rsidP="005257D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12. Учет резервов предстоящих расходов Министерства и их расходование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Порядок учета резервов предстоящих расходов Министерства и их расходование </w:t>
      </w:r>
      <w:r>
        <w:rPr>
          <w:sz w:val="24"/>
          <w:szCs w:val="24"/>
        </w:rPr>
        <w:t xml:space="preserve">осуществляется на основании </w:t>
      </w:r>
      <w:r>
        <w:rPr>
          <w:b/>
          <w:sz w:val="24"/>
          <w:szCs w:val="24"/>
        </w:rPr>
        <w:t>Приложения №14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2A44C8" w:rsidP="005257D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A44C8" w:rsidRDefault="00AE6F6D" w:rsidP="005257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Исчисление налогов и взносов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Исчисление налогов и взносов в Министерстве осуществляется уполномоченной организацией </w:t>
      </w:r>
      <w:proofErr w:type="gramStart"/>
      <w:r>
        <w:rPr>
          <w:rFonts w:ascii="Times New Roman" w:hAnsi="Times New Roman"/>
          <w:sz w:val="24"/>
          <w:szCs w:val="24"/>
        </w:rPr>
        <w:t>ГКУ</w:t>
      </w:r>
      <w:proofErr w:type="gramEnd"/>
      <w:r>
        <w:rPr>
          <w:rFonts w:ascii="Times New Roman" w:hAnsi="Times New Roman"/>
          <w:sz w:val="24"/>
          <w:szCs w:val="24"/>
        </w:rPr>
        <w:t xml:space="preserve"> НО «ЦОПБС» в соответствии с Налоговым кодексом Российской Федерации, Федеральным законом от 24.07.2009 №212-ФЗ «О страховых взносах в Пенсионный фонд РФ, Фонд социального страхования РФ, Федеральный фонд обязательного медицинского страхования» и иными нормативными актами законодательства о налогах и взносах </w:t>
      </w:r>
      <w:r>
        <w:rPr>
          <w:rFonts w:ascii="Times New Roman" w:hAnsi="Times New Roman"/>
          <w:b/>
          <w:sz w:val="24"/>
          <w:szCs w:val="24"/>
        </w:rPr>
        <w:t>(Приложение №6).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Учет на забалансовых счетах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Порядок учета на забалансовых счетах Министерства </w:t>
      </w:r>
      <w:r>
        <w:rPr>
          <w:sz w:val="24"/>
          <w:szCs w:val="24"/>
        </w:rPr>
        <w:t xml:space="preserve">осуществляется на основании </w:t>
      </w:r>
      <w:r>
        <w:rPr>
          <w:b/>
          <w:sz w:val="24"/>
          <w:szCs w:val="24"/>
        </w:rPr>
        <w:t>Приложения №15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pStyle w:val="1"/>
        <w:tabs>
          <w:tab w:val="center" w:pos="5031"/>
          <w:tab w:val="left" w:pos="652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15. Инвентаризация</w:t>
      </w:r>
      <w:r>
        <w:rPr>
          <w:color w:val="000000"/>
          <w:sz w:val="24"/>
          <w:szCs w:val="24"/>
        </w:rPr>
        <w:tab/>
      </w:r>
    </w:p>
    <w:p w:rsidR="002A44C8" w:rsidRDefault="00AE6F6D" w:rsidP="005257D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Инвентаризация имущества и финансовых обязательств проводится в соответствии с Порядком проведения инвентаризации активов и обязательств (</w:t>
      </w:r>
      <w:r>
        <w:rPr>
          <w:rFonts w:ascii="Times New Roman" w:hAnsi="Times New Roman"/>
          <w:b/>
          <w:sz w:val="24"/>
          <w:szCs w:val="24"/>
        </w:rPr>
        <w:t>Приложение №9</w:t>
      </w:r>
      <w:r>
        <w:rPr>
          <w:rFonts w:ascii="Times New Roman" w:hAnsi="Times New Roman"/>
          <w:sz w:val="24"/>
          <w:szCs w:val="24"/>
        </w:rPr>
        <w:t>) к настоящей Учетной политике.</w:t>
      </w:r>
      <w:bookmarkStart w:id="3" w:name="sub_1018"/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Порядок формирования и представления отчетности</w:t>
      </w:r>
    </w:p>
    <w:bookmarkEnd w:id="3"/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Бюджетная отчетность в объеме,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представляется в министерство финансов Нижегородской области в сроки, установленные министерством финансов Нижегородской области.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Месячная, квартальная и годовая бюджетная отчетность формируется на бумажном носителе и в электронном виде с применением программы «СКИФ-БП» и представляется в министерство </w:t>
      </w:r>
      <w:r w:rsidR="006525E2">
        <w:rPr>
          <w:rFonts w:ascii="Times New Roman" w:hAnsi="Times New Roman"/>
          <w:sz w:val="24"/>
        </w:rPr>
        <w:t>финансов после</w:t>
      </w:r>
      <w:r>
        <w:rPr>
          <w:rFonts w:ascii="Times New Roman" w:hAnsi="Times New Roman"/>
          <w:sz w:val="24"/>
        </w:rPr>
        <w:t xml:space="preserve"> утверждения руководителем Министерства или лицом уполномоченным н</w:t>
      </w:r>
      <w:r w:rsidR="00E53FDC">
        <w:rPr>
          <w:rFonts w:ascii="Times New Roman" w:hAnsi="Times New Roman"/>
          <w:sz w:val="24"/>
        </w:rPr>
        <w:t>а то руководителем Министерства путем подписания в программе электронной цифровой подписью.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предоставление отчетности в органы государственной статистики, ИФНС, ФСС, ПФ РФ осуществляются в соответствии с требованиями действующего законодательства.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Хранение документов бухгалтерского учета</w:t>
      </w:r>
    </w:p>
    <w:p w:rsidR="002A44C8" w:rsidRDefault="00AE6F6D" w:rsidP="005257D2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4"/>
          <w:szCs w:val="24"/>
        </w:rPr>
        <w:t>На основании Закона №402-ФЗ, обеспечить сохранность первичных учетных документов, регистров бухгалтерского учета, бухгалтерскую (финансовую) отчетность в течение сроков, утверждаемых в соответствии с правилами организации государственного архивного дела, но не менее пяти лет после окончания отчетного года.</w:t>
      </w:r>
    </w:p>
    <w:p w:rsidR="002A44C8" w:rsidRDefault="00AE6F6D" w:rsidP="005257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на основании п. 2 ст. 29 Закона №402-ФЗ 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подписи, хранить не менее пяти лет после года, в котором они использовались для составления бухгалтерской (финансовой) отчетности в последний раз.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безопасные условия хранения документов бухгалтерского учета и их защиту от изменений (п. 3 ст. 29 Закона №402 - ФЗ).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Порядок признания в бухгалтерском учете и раскрытия в бухгалтерской (финансовой) отчетности событий после отчетной даты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Порядок признания в бухгалтерском учете и раскрытия в бухгалтерской (финансовой) отчетности событий после отчетной даты в </w:t>
      </w:r>
      <w:r>
        <w:rPr>
          <w:rFonts w:eastAsia="Calibri"/>
          <w:sz w:val="24"/>
          <w:szCs w:val="24"/>
          <w:lang w:eastAsia="en-US"/>
        </w:rPr>
        <w:t xml:space="preserve">Министерстве </w:t>
      </w:r>
      <w:r>
        <w:rPr>
          <w:sz w:val="24"/>
          <w:szCs w:val="24"/>
        </w:rPr>
        <w:t xml:space="preserve">осуществляется на основании </w:t>
      </w:r>
      <w:r>
        <w:rPr>
          <w:b/>
          <w:sz w:val="24"/>
          <w:szCs w:val="24"/>
        </w:rPr>
        <w:t>Приложения №11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AE6F6D" w:rsidP="005257D2">
      <w:pPr>
        <w:tabs>
          <w:tab w:val="left" w:pos="3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Расходы будущих периодов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составе расходов будущих периодов на счете 0 401 50 000 отражаются расходы: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-затраты, произведенные учреждением в отчетном периоде, но относящиеся к следующим отчетным периодам</w:t>
      </w:r>
      <w:r w:rsidR="006E677D">
        <w:rPr>
          <w:sz w:val="24"/>
          <w:szCs w:val="24"/>
        </w:rPr>
        <w:t xml:space="preserve"> и списываются на финансовый результат текущего финансового года пропорционально объему работ, услуг и т.д. в течение периода, к которому они относятся.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-упущенная выгода по </w:t>
      </w:r>
      <w:r w:rsidR="006E677D">
        <w:rPr>
          <w:sz w:val="24"/>
          <w:szCs w:val="24"/>
        </w:rPr>
        <w:t xml:space="preserve">безвозмездным </w:t>
      </w:r>
      <w:r>
        <w:rPr>
          <w:sz w:val="24"/>
          <w:szCs w:val="24"/>
        </w:rPr>
        <w:t>договорам аренды</w:t>
      </w:r>
      <w:r w:rsidR="006E677D">
        <w:rPr>
          <w:sz w:val="24"/>
          <w:szCs w:val="24"/>
        </w:rPr>
        <w:t xml:space="preserve">. 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(Основание: </w:t>
      </w:r>
      <w:hyperlink r:id="rId25" w:history="1">
        <w:r>
          <w:rPr>
            <w:i/>
            <w:iCs/>
            <w:sz w:val="24"/>
            <w:szCs w:val="24"/>
          </w:rPr>
          <w:t>п. 302</w:t>
        </w:r>
      </w:hyperlink>
      <w:r>
        <w:rPr>
          <w:i/>
          <w:iCs/>
          <w:sz w:val="24"/>
          <w:szCs w:val="24"/>
        </w:rPr>
        <w:t xml:space="preserve"> Инструкции N 157н)</w:t>
      </w:r>
    </w:p>
    <w:p w:rsidR="002A44C8" w:rsidRDefault="00AE6F6D" w:rsidP="00525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2A44C8" w:rsidRDefault="00AE6F6D" w:rsidP="005257D2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</w:t>
      </w:r>
    </w:p>
    <w:p w:rsidR="002A44C8" w:rsidRDefault="00AE6F6D" w:rsidP="005257D2">
      <w:pPr>
        <w:ind w:firstLine="54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20. Порядок передачи документов бухгалтерского учета при смене</w:t>
      </w:r>
    </w:p>
    <w:p w:rsidR="002A44C8" w:rsidRDefault="00AE6F6D" w:rsidP="005257D2">
      <w:pPr>
        <w:ind w:firstLine="54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начальника отдела бюджетного учета и отчетности.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Порядок передачи документов бухгалтерского учета при смене начальника отдела бюджетного учета и отчетности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министерстве осуществляется на основании </w:t>
      </w:r>
      <w:r>
        <w:rPr>
          <w:b/>
          <w:sz w:val="24"/>
          <w:szCs w:val="24"/>
        </w:rPr>
        <w:t>Приложения №16</w:t>
      </w:r>
      <w:r>
        <w:rPr>
          <w:sz w:val="24"/>
          <w:szCs w:val="24"/>
        </w:rPr>
        <w:t xml:space="preserve"> к настоящему Положению.</w:t>
      </w:r>
    </w:p>
    <w:p w:rsidR="002A44C8" w:rsidRDefault="002A44C8" w:rsidP="005257D2">
      <w:pPr>
        <w:jc w:val="both"/>
        <w:rPr>
          <w:bCs/>
          <w:sz w:val="24"/>
          <w:szCs w:val="24"/>
        </w:rPr>
      </w:pP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Изменения учетной политики</w:t>
      </w:r>
    </w:p>
    <w:p w:rsidR="00F206AB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политика применяется последовательно из года в год</w:t>
      </w:r>
      <w:r w:rsidR="00F206AB">
        <w:rPr>
          <w:rFonts w:ascii="Times New Roman" w:hAnsi="Times New Roman"/>
          <w:sz w:val="24"/>
          <w:szCs w:val="24"/>
        </w:rPr>
        <w:t xml:space="preserve"> и утверждается приказом министра ежегодно.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Изменение учетной политики производится в случаях: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изменения законодательства Российской Федерации о бухгалтерском учете, нормативных правовых актов, регулирующих ведение бухгалтерского учета и составление бухгалтерской (финансовой) отчетности;</w:t>
      </w:r>
    </w:p>
    <w:p w:rsidR="002A44C8" w:rsidRDefault="00AE6F6D" w:rsidP="005257D2">
      <w:pPr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формирования или утверждения новых способов ведения бухгалтерского учета, применение которых позволит представить в бухгалтерской (финансовой) отчетности релевантную и достоверную информацию;</w:t>
      </w:r>
    </w:p>
    <w:p w:rsidR="002A44C8" w:rsidRDefault="00AE6F6D" w:rsidP="005257D2">
      <w:pPr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существенного изменения условий деятельности Министерства, включая его реорганизацию, изменение возложенных на Министерство полномочий и (или) выполняемых им функций.</w:t>
      </w:r>
    </w:p>
    <w:p w:rsidR="002A44C8" w:rsidRDefault="00AE6F6D" w:rsidP="005257D2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Изменение учетной политики производится с начала отчетного года, если иное не обусловливается причиной такого изменения.</w:t>
      </w:r>
    </w:p>
    <w:p w:rsidR="002A44C8" w:rsidRDefault="002A44C8" w:rsidP="005257D2">
      <w:pPr>
        <w:ind w:firstLine="539"/>
        <w:jc w:val="both"/>
        <w:rPr>
          <w:sz w:val="24"/>
          <w:szCs w:val="24"/>
        </w:rPr>
      </w:pPr>
    </w:p>
    <w:sectPr w:rsidR="002A44C8" w:rsidSect="00040387">
      <w:footerReference w:type="default" r:id="rId26"/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F0" w:rsidRDefault="006B39F0">
      <w:r>
        <w:separator/>
      </w:r>
    </w:p>
  </w:endnote>
  <w:endnote w:type="continuationSeparator" w:id="0">
    <w:p w:rsidR="006B39F0" w:rsidRDefault="006B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A6" w:rsidRDefault="00DB1DA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7645C">
      <w:rPr>
        <w:noProof/>
      </w:rPr>
      <w:t>6</w:t>
    </w:r>
    <w:r>
      <w:fldChar w:fldCharType="end"/>
    </w:r>
  </w:p>
  <w:p w:rsidR="00DB1DA6" w:rsidRDefault="00DB1D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F0" w:rsidRDefault="006B39F0">
      <w:r>
        <w:separator/>
      </w:r>
    </w:p>
  </w:footnote>
  <w:footnote w:type="continuationSeparator" w:id="0">
    <w:p w:rsidR="006B39F0" w:rsidRDefault="006B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3D7"/>
    <w:multiLevelType w:val="hybridMultilevel"/>
    <w:tmpl w:val="7340C992"/>
    <w:lvl w:ilvl="0" w:tplc="7BB0A3A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BA085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DE0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F0B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941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A886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C671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624D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8EC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8C66A1F"/>
    <w:multiLevelType w:val="hybridMultilevel"/>
    <w:tmpl w:val="C97413F0"/>
    <w:lvl w:ilvl="0" w:tplc="34D08F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42D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82C9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A07E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BEC0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4E48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D28A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468D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2E15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8"/>
    <w:rsid w:val="00040387"/>
    <w:rsid w:val="00091DDD"/>
    <w:rsid w:val="000B4484"/>
    <w:rsid w:val="00174EF5"/>
    <w:rsid w:val="001A0FA3"/>
    <w:rsid w:val="002516DA"/>
    <w:rsid w:val="002A44C8"/>
    <w:rsid w:val="002A7837"/>
    <w:rsid w:val="002C23D0"/>
    <w:rsid w:val="003503D7"/>
    <w:rsid w:val="004B4C11"/>
    <w:rsid w:val="005257D2"/>
    <w:rsid w:val="00525ED7"/>
    <w:rsid w:val="00576BAD"/>
    <w:rsid w:val="005D3E2B"/>
    <w:rsid w:val="005D4042"/>
    <w:rsid w:val="006525E2"/>
    <w:rsid w:val="00666553"/>
    <w:rsid w:val="006B39F0"/>
    <w:rsid w:val="006E677D"/>
    <w:rsid w:val="00743F3A"/>
    <w:rsid w:val="00760F2F"/>
    <w:rsid w:val="007A1670"/>
    <w:rsid w:val="00854307"/>
    <w:rsid w:val="008C454E"/>
    <w:rsid w:val="00996220"/>
    <w:rsid w:val="009A1B53"/>
    <w:rsid w:val="00AE6F6D"/>
    <w:rsid w:val="00AF6450"/>
    <w:rsid w:val="00C821A0"/>
    <w:rsid w:val="00D43914"/>
    <w:rsid w:val="00D50619"/>
    <w:rsid w:val="00D7645C"/>
    <w:rsid w:val="00D81321"/>
    <w:rsid w:val="00DB1DA6"/>
    <w:rsid w:val="00DB4827"/>
    <w:rsid w:val="00E53FDC"/>
    <w:rsid w:val="00E64071"/>
    <w:rsid w:val="00EF73CC"/>
    <w:rsid w:val="00F206AB"/>
    <w:rsid w:val="00F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3EAFC-4EC7-4D70-9FE1-E84A658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character" w:customStyle="1" w:styleId="af9">
    <w:name w:val="Основной шрифт абзаца;Знак Знак Знак Знак Знак Знак Знак Знак"/>
    <w:link w:val="afa"/>
    <w:semiHidden/>
  </w:style>
  <w:style w:type="character" w:customStyle="1" w:styleId="afb">
    <w:name w:val="Цветовое выделение"/>
    <w:rPr>
      <w:b/>
      <w:bCs/>
      <w:color w:val="000080"/>
      <w:sz w:val="20"/>
      <w:szCs w:val="20"/>
    </w:rPr>
  </w:style>
  <w:style w:type="paragraph" w:customStyle="1" w:styleId="afc">
    <w:name w:val="Таблицы (моноширинный)"/>
    <w:basedOn w:val="a"/>
    <w:next w:val="a"/>
    <w:rPr>
      <w:rFonts w:ascii="Courier New" w:hAnsi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e">
    <w:name w:val="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"/>
    <w:basedOn w:val="a"/>
    <w:link w:val="a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Верхний колонтитул Знак"/>
    <w:link w:val="ab"/>
    <w:rPr>
      <w:rFonts w:ascii="Arial" w:hAnsi="Arial"/>
    </w:rPr>
  </w:style>
  <w:style w:type="character" w:customStyle="1" w:styleId="ae">
    <w:name w:val="Нижний колонтитул Знак"/>
    <w:link w:val="ad"/>
    <w:rPr>
      <w:rFonts w:ascii="Arial" w:hAnsi="Arial"/>
    </w:rPr>
  </w:style>
  <w:style w:type="paragraph" w:customStyle="1" w:styleId="docdata">
    <w:name w:val="docdata"/>
    <w:aliases w:val="docy,v5,2484,bqiaagaaeyqcaaagiaiaaapvbgaabemgaaaaaaaaaaaaaaaaaaaaaaaaaaaaaaaaaaaaaaaaaaaaaaaaaaaaaaaaaaaaaaaaaaaaaaaaaaaaaaaaaaaaaaaaaaaaaaaaaaaaaaaaaaaaaaaaaaaaaaaaaaaaaaaaaaaaaaaaaaaaaaaaaaaaaaaaaaaaaaaaaaaaaaaaaaaaaaaaaaaaaaaaaaaaaaaaaaaaaaaa"/>
    <w:basedOn w:val="a"/>
    <w:rsid w:val="005D3E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443">
    <w:name w:val="4443"/>
    <w:aliases w:val="bqiaagaaeyqcaaagiaiaaam8bwaabqyoaaaaaaaaaaaaaaaaaaaaaaaaaaaaaaaaaaaaaaaaaaaaaaaaaaaaaaaaaaaaaaaaaaaaaaaaaaaaaaaaaaaaaaaaaaaaaaaaaaaaaaaaaaaaaaaaaaaaaaaaaaaaaaaaaaaaaaaaaaaaaaaaaaaaaaaaaaaaaaaaaaaaaaaaaaaaaaaaaaaaaaaaaaaaaaaaaaaaaaaa"/>
    <w:basedOn w:val="a0"/>
    <w:rsid w:val="0035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B6F3B24E2CB04E46B299B97D827D976C09312EC74C5DEC3EE6749571CC79B9E06DE892A50D2DDJ6n4M" TargetMode="External"/><Relationship Id="rId13" Type="http://schemas.openxmlformats.org/officeDocument/2006/relationships/hyperlink" Target="consultantplus://offline/ref=46CC40372B5CE5CEF0A78076C824829DD98311B183DC3668C5AB92B5DB98B7070005D4768EK9gCJ" TargetMode="External"/><Relationship Id="rId18" Type="http://schemas.openxmlformats.org/officeDocument/2006/relationships/hyperlink" Target="consultantplus://offline/ref=33BB6F3B24E2CB04E46B299B97D827D976C39211E17AC5DEC3EE6749571CC79B9E06DE892A50D2DBJ6n7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6BA380BBE1774B92FFEE9AAFD06A733A0A7F771E875058E823FB597DrCI" TargetMode="External"/><Relationship Id="rId7" Type="http://schemas.openxmlformats.org/officeDocument/2006/relationships/hyperlink" Target="consultantplus://offline/ref=C0B06F9D5C7CF509DAD2B42819EBD84860F625864C7A4C17932340EE48105F0309C110A7CFb9I" TargetMode="External"/><Relationship Id="rId12" Type="http://schemas.openxmlformats.org/officeDocument/2006/relationships/hyperlink" Target="consultantplus://offline/ref=46CC40372B5CE5CEF0A78076C824829DD98311B183DC3668C5AB92B5DB98B7070005D4768B9ED9A1K8g7J" TargetMode="External"/><Relationship Id="rId17" Type="http://schemas.openxmlformats.org/officeDocument/2006/relationships/hyperlink" Target="consultantplus://offline/ref=33BB6F3B24E2CB04E46B299B97D827D976C7981BE57CC5DEC3EE6749571CC79B9E06DE892A53D7DFJ6n6M" TargetMode="External"/><Relationship Id="rId25" Type="http://schemas.openxmlformats.org/officeDocument/2006/relationships/hyperlink" Target="consultantplus://offline/ref=86905CF3B6BDF568EB975DFC93A30EDA71D64C07A330478DACEAAC5F34F05B47127F98BAEFD46DD4WA4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BB6F3B24E2CB04E46B299B97D827D976C7981BE57CC5DEC3EE6749571CC79B9E06DE892A53D7DFJ6n6M" TargetMode="External"/><Relationship Id="rId20" Type="http://schemas.openxmlformats.org/officeDocument/2006/relationships/hyperlink" Target="consultantplus://offline/ref=33BB6F3B24E2CB04E46B299B97D827D976C69C12E77AC5DEC3EE6749571CC79B9E06DE892A50D2D4J6n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8192D2C2B60919E402314DC5B08D910D88468F6725EEFE521EBE3F88286D9071F41575DAG3l2I" TargetMode="External"/><Relationship Id="rId24" Type="http://schemas.openxmlformats.org/officeDocument/2006/relationships/hyperlink" Target="consultantplus://offline/ref=76180D8D4C93F4E729DEB7A9E164E4A260DCD5FB35243147CDD681650B5164DEABA090C033iE1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CC40372B5CE5CEF0A78076C824829DD98311B183DC3668C5AB92B5DB98B7070005D4768EK9gFJ" TargetMode="External"/><Relationship Id="rId23" Type="http://schemas.openxmlformats.org/officeDocument/2006/relationships/hyperlink" Target="consultantplus://offline/ref=76180D8D4C93F4E729DEB7A9E164E4A260D3D0FA332F3147CDD681650B5164DEABA090C030E9591Ei61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BB6F3B24E2CB04E46B299B97D827D976C09312EC74C5DEC3EE6749571CC79B9E06DE892A50D6D5J6n7M" TargetMode="External"/><Relationship Id="rId19" Type="http://schemas.openxmlformats.org/officeDocument/2006/relationships/hyperlink" Target="consultantplus://offline/ref=33BB6F3B24E2CB04E46B299B97D827D976C39211E17AC5DEC3EE674957J1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BB6F3B24E2CB04E46B299B97D827D976C09312EC74C5DEC3EE6749571CC79B9E06DE892A50D6D5J6n1M" TargetMode="External"/><Relationship Id="rId14" Type="http://schemas.openxmlformats.org/officeDocument/2006/relationships/hyperlink" Target="consultantplus://offline/ref=46CC40372B5CE5CEF0A79C76CF24829DD08D15B382DF6B62CDF29EB7DC97E810074CD8778996D4KAg0J" TargetMode="External"/><Relationship Id="rId22" Type="http://schemas.openxmlformats.org/officeDocument/2006/relationships/hyperlink" Target="consultantplus://offline/ref=76180D8D4C93F4E729DEB7A9E164E4A260D3D7F8322A3147CDD681650Bi51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7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Рамзия</dc:creator>
  <cp:lastModifiedBy>Никитина Рамзия</cp:lastModifiedBy>
  <cp:revision>27</cp:revision>
  <dcterms:created xsi:type="dcterms:W3CDTF">2021-12-28T08:22:00Z</dcterms:created>
  <dcterms:modified xsi:type="dcterms:W3CDTF">2023-03-02T14:22:00Z</dcterms:modified>
</cp:coreProperties>
</file>